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883B9" w14:textId="772732B8" w:rsidR="008743E8" w:rsidRPr="00294243" w:rsidRDefault="0072692F" w:rsidP="008743E8">
      <w:pPr>
        <w:pStyle w:val="berschrift3"/>
        <w:rPr>
          <w:sz w:val="28"/>
          <w:szCs w:val="28"/>
        </w:rPr>
      </w:pPr>
      <w:r>
        <w:rPr>
          <w:sz w:val="28"/>
          <w:szCs w:val="28"/>
        </w:rPr>
        <w:t>Pressemitteilung</w:t>
      </w:r>
    </w:p>
    <w:p w14:paraId="4C921EE2" w14:textId="068C42DC" w:rsidR="008743E8" w:rsidRPr="00217413" w:rsidRDefault="008743E8" w:rsidP="008743E8">
      <w:pPr>
        <w:rPr>
          <w:rFonts w:ascii="Arial" w:hAnsi="Arial" w:cs="Arial"/>
          <w:sz w:val="22"/>
          <w:szCs w:val="22"/>
        </w:rPr>
      </w:pPr>
      <w:r w:rsidRPr="00217413">
        <w:rPr>
          <w:rFonts w:ascii="Arial" w:hAnsi="Arial" w:cs="Arial"/>
          <w:sz w:val="22"/>
          <w:szCs w:val="22"/>
        </w:rPr>
        <w:t xml:space="preserve">Hannover, </w:t>
      </w:r>
      <w:r w:rsidR="00076B17">
        <w:rPr>
          <w:rFonts w:ascii="Arial" w:hAnsi="Arial" w:cs="Arial"/>
          <w:sz w:val="22"/>
          <w:szCs w:val="22"/>
        </w:rPr>
        <w:t>4</w:t>
      </w:r>
      <w:r w:rsidR="004617F0">
        <w:rPr>
          <w:rFonts w:ascii="Arial" w:hAnsi="Arial" w:cs="Arial"/>
          <w:sz w:val="22"/>
          <w:szCs w:val="22"/>
        </w:rPr>
        <w:t>.</w:t>
      </w:r>
      <w:r w:rsidR="002261EF">
        <w:rPr>
          <w:rFonts w:ascii="Arial" w:hAnsi="Arial" w:cs="Arial"/>
          <w:sz w:val="22"/>
          <w:szCs w:val="22"/>
        </w:rPr>
        <w:t xml:space="preserve"> </w:t>
      </w:r>
      <w:r w:rsidR="004617F0">
        <w:rPr>
          <w:rFonts w:ascii="Arial" w:hAnsi="Arial" w:cs="Arial"/>
          <w:sz w:val="22"/>
          <w:szCs w:val="22"/>
        </w:rPr>
        <w:t xml:space="preserve">September </w:t>
      </w:r>
      <w:r w:rsidR="005818FF">
        <w:rPr>
          <w:rFonts w:ascii="Arial" w:hAnsi="Arial" w:cs="Arial"/>
          <w:sz w:val="22"/>
          <w:szCs w:val="22"/>
        </w:rPr>
        <w:t>202</w:t>
      </w:r>
      <w:r w:rsidR="000B35AE">
        <w:rPr>
          <w:rFonts w:ascii="Arial" w:hAnsi="Arial" w:cs="Arial"/>
          <w:sz w:val="22"/>
          <w:szCs w:val="22"/>
        </w:rPr>
        <w:t>6</w:t>
      </w:r>
    </w:p>
    <w:p w14:paraId="1CB79ECE" w14:textId="77777777" w:rsidR="008743E8" w:rsidRPr="00217413" w:rsidRDefault="008743E8" w:rsidP="008743E8">
      <w:pPr>
        <w:rPr>
          <w:rFonts w:ascii="Arial" w:hAnsi="Arial" w:cs="Arial"/>
          <w:sz w:val="22"/>
          <w:szCs w:val="22"/>
        </w:rPr>
      </w:pPr>
    </w:p>
    <w:p w14:paraId="4B5406C6" w14:textId="77777777" w:rsidR="0064784A" w:rsidRDefault="0064784A">
      <w:pPr>
        <w:rPr>
          <w:rFonts w:ascii="Arial" w:hAnsi="Arial" w:cs="Arial"/>
          <w:sz w:val="22"/>
        </w:rPr>
      </w:pPr>
    </w:p>
    <w:p w14:paraId="7194ADC6" w14:textId="77777777" w:rsidR="000A4A76" w:rsidRDefault="000A4A76">
      <w:pPr>
        <w:rPr>
          <w:rFonts w:ascii="Arial" w:hAnsi="Arial" w:cs="Arial"/>
          <w:sz w:val="22"/>
        </w:rPr>
        <w:sectPr w:rsidR="000A4A76" w:rsidSect="007F602E">
          <w:headerReference w:type="default" r:id="rId7"/>
          <w:footerReference w:type="default" r:id="rId8"/>
          <w:headerReference w:type="first" r:id="rId9"/>
          <w:footerReference w:type="first" r:id="rId10"/>
          <w:pgSz w:w="11906" w:h="16838" w:code="9"/>
          <w:pgMar w:top="2948" w:right="1418" w:bottom="1134" w:left="1418" w:header="709" w:footer="709" w:gutter="0"/>
          <w:cols w:space="708"/>
          <w:titlePg/>
          <w:docGrid w:linePitch="360"/>
        </w:sectPr>
      </w:pPr>
    </w:p>
    <w:p w14:paraId="6FDB6895" w14:textId="77777777" w:rsidR="0064784A" w:rsidRDefault="0064784A">
      <w:pPr>
        <w:rPr>
          <w:rFonts w:ascii="Arial" w:hAnsi="Arial" w:cs="Arial"/>
          <w:sz w:val="22"/>
        </w:rPr>
      </w:pPr>
    </w:p>
    <w:p w14:paraId="1D844BAA" w14:textId="13F3C8D0" w:rsidR="000B35AE" w:rsidRDefault="00FA37AF" w:rsidP="003D0FF9">
      <w:pPr>
        <w:ind w:right="-428"/>
        <w:rPr>
          <w:rFonts w:ascii="Arial" w:hAnsi="Arial"/>
          <w:b/>
          <w:sz w:val="28"/>
          <w:szCs w:val="28"/>
        </w:rPr>
      </w:pPr>
      <w:r>
        <w:rPr>
          <w:rFonts w:ascii="Arial" w:hAnsi="Arial"/>
          <w:b/>
          <w:sz w:val="28"/>
          <w:szCs w:val="28"/>
        </w:rPr>
        <w:t>Härtefallkommission – Kommunen unterstützen den eingeschlagenen Weg</w:t>
      </w:r>
    </w:p>
    <w:p w14:paraId="407B6877" w14:textId="77777777" w:rsidR="000B35AE" w:rsidRDefault="000B35AE" w:rsidP="003D0FF9">
      <w:pPr>
        <w:ind w:right="-428"/>
        <w:rPr>
          <w:rFonts w:ascii="Arial" w:hAnsi="Arial" w:cs="Arial"/>
          <w:sz w:val="24"/>
          <w:szCs w:val="24"/>
        </w:rPr>
      </w:pPr>
    </w:p>
    <w:p w14:paraId="333F9929" w14:textId="74B14834" w:rsidR="004617F0" w:rsidRDefault="004617F0" w:rsidP="000B35AE">
      <w:pPr>
        <w:ind w:right="-428"/>
        <w:jc w:val="both"/>
        <w:rPr>
          <w:rFonts w:ascii="Arial" w:hAnsi="Arial" w:cs="Arial"/>
          <w:sz w:val="22"/>
          <w:szCs w:val="22"/>
        </w:rPr>
      </w:pPr>
      <w:r>
        <w:rPr>
          <w:rFonts w:ascii="Arial" w:hAnsi="Arial" w:cs="Arial"/>
          <w:sz w:val="22"/>
          <w:szCs w:val="22"/>
        </w:rPr>
        <w:t>„Das Härtefallverfahren ist kein zweites Asylverfahren und auch kein Instrument zur Aufenthaltsverlängerung</w:t>
      </w:r>
      <w:r w:rsidR="00CC0395">
        <w:rPr>
          <w:rFonts w:ascii="Arial" w:hAnsi="Arial" w:cs="Arial"/>
          <w:sz w:val="22"/>
          <w:szCs w:val="22"/>
        </w:rPr>
        <w:t xml:space="preserve">. Es sieht ausnahmsweise für die betroffenen Personen einen humanitären Schutz trotz einer gerichtlich bestehenden Ausreiseverpflichtung vor. Dieser Ausnahmecharakter muss </w:t>
      </w:r>
      <w:r w:rsidR="00FA37AF">
        <w:rPr>
          <w:rFonts w:ascii="Arial" w:hAnsi="Arial" w:cs="Arial"/>
          <w:sz w:val="22"/>
          <w:szCs w:val="22"/>
        </w:rPr>
        <w:t xml:space="preserve">– so wie es das Aufenthaltsgesetz vorsieht – unbedingt </w:t>
      </w:r>
      <w:r w:rsidR="00CC0395">
        <w:rPr>
          <w:rFonts w:ascii="Arial" w:hAnsi="Arial" w:cs="Arial"/>
          <w:sz w:val="22"/>
          <w:szCs w:val="22"/>
        </w:rPr>
        <w:t xml:space="preserve">gewahrt bleiben“, so der Hauptgeschäftsführer des Niedersächsischen Städtetages, </w:t>
      </w:r>
      <w:r w:rsidR="00CC0395" w:rsidRPr="00D80060">
        <w:rPr>
          <w:rFonts w:ascii="Arial" w:hAnsi="Arial" w:cs="Arial"/>
          <w:b/>
          <w:bCs/>
          <w:sz w:val="22"/>
          <w:szCs w:val="22"/>
        </w:rPr>
        <w:t>Dr. Jan Arning</w:t>
      </w:r>
      <w:r w:rsidR="00CC0395">
        <w:rPr>
          <w:rFonts w:ascii="Arial" w:hAnsi="Arial" w:cs="Arial"/>
          <w:sz w:val="22"/>
          <w:szCs w:val="22"/>
        </w:rPr>
        <w:t>: „Daher begrüßen die kommunalen Spitzenverbände den vom Innenministerium eingeschlagenen Weg zur Änderung des Härtefallverfahrens.“</w:t>
      </w:r>
    </w:p>
    <w:p w14:paraId="192ED5EA" w14:textId="77777777" w:rsidR="004617F0" w:rsidRDefault="004617F0" w:rsidP="000B35AE">
      <w:pPr>
        <w:ind w:right="-428"/>
        <w:jc w:val="both"/>
        <w:rPr>
          <w:rFonts w:ascii="Arial" w:hAnsi="Arial" w:cs="Arial"/>
          <w:sz w:val="22"/>
          <w:szCs w:val="22"/>
        </w:rPr>
      </w:pPr>
    </w:p>
    <w:p w14:paraId="56F0F3B5" w14:textId="503CE39B" w:rsidR="004617F0" w:rsidRDefault="00CC0395" w:rsidP="00CC0395">
      <w:pPr>
        <w:ind w:right="-428"/>
        <w:jc w:val="both"/>
        <w:rPr>
          <w:rFonts w:ascii="Arial" w:hAnsi="Arial" w:cs="Arial"/>
          <w:sz w:val="22"/>
          <w:szCs w:val="22"/>
        </w:rPr>
      </w:pPr>
      <w:r>
        <w:rPr>
          <w:rFonts w:ascii="Arial" w:hAnsi="Arial" w:cs="Arial"/>
          <w:sz w:val="22"/>
          <w:szCs w:val="22"/>
        </w:rPr>
        <w:t xml:space="preserve">Das Innenministerium hat insbesondere </w:t>
      </w:r>
      <w:r w:rsidR="00FA37AF">
        <w:rPr>
          <w:rFonts w:ascii="Arial" w:hAnsi="Arial" w:cs="Arial"/>
          <w:sz w:val="22"/>
          <w:szCs w:val="22"/>
        </w:rPr>
        <w:t>mitgeteilt</w:t>
      </w:r>
      <w:r>
        <w:rPr>
          <w:rFonts w:ascii="Arial" w:hAnsi="Arial" w:cs="Arial"/>
          <w:sz w:val="22"/>
          <w:szCs w:val="22"/>
        </w:rPr>
        <w:t>, dass das Abstimmungsquorum in der Vorprüfung zum Härtefallverfahren geändert</w:t>
      </w:r>
      <w:r w:rsidR="00FA37AF">
        <w:rPr>
          <w:rFonts w:ascii="Arial" w:hAnsi="Arial" w:cs="Arial"/>
          <w:sz w:val="22"/>
          <w:szCs w:val="22"/>
        </w:rPr>
        <w:t xml:space="preserve">, </w:t>
      </w:r>
      <w:r>
        <w:rPr>
          <w:rFonts w:ascii="Arial" w:hAnsi="Arial" w:cs="Arial"/>
          <w:sz w:val="22"/>
          <w:szCs w:val="22"/>
        </w:rPr>
        <w:t xml:space="preserve">dass </w:t>
      </w:r>
      <w:r w:rsidRPr="00CC0395">
        <w:rPr>
          <w:rFonts w:ascii="Arial" w:hAnsi="Arial" w:cs="Arial"/>
          <w:sz w:val="22"/>
          <w:szCs w:val="22"/>
        </w:rPr>
        <w:t>e</w:t>
      </w:r>
      <w:r>
        <w:rPr>
          <w:rFonts w:ascii="Arial" w:hAnsi="Arial" w:cs="Arial"/>
          <w:sz w:val="22"/>
          <w:szCs w:val="22"/>
        </w:rPr>
        <w:t>i</w:t>
      </w:r>
      <w:r w:rsidRPr="00CC0395">
        <w:rPr>
          <w:rFonts w:ascii="Arial" w:hAnsi="Arial" w:cs="Arial"/>
          <w:sz w:val="22"/>
          <w:szCs w:val="22"/>
        </w:rPr>
        <w:t>ne Duldung</w:t>
      </w:r>
      <w:r>
        <w:rPr>
          <w:rFonts w:ascii="Arial" w:hAnsi="Arial" w:cs="Arial"/>
          <w:sz w:val="22"/>
          <w:szCs w:val="22"/>
        </w:rPr>
        <w:t xml:space="preserve"> </w:t>
      </w:r>
      <w:r w:rsidRPr="00CC0395">
        <w:rPr>
          <w:rFonts w:ascii="Arial" w:hAnsi="Arial" w:cs="Arial"/>
          <w:sz w:val="22"/>
          <w:szCs w:val="22"/>
        </w:rPr>
        <w:t xml:space="preserve">nach </w:t>
      </w:r>
      <w:r>
        <w:rPr>
          <w:rFonts w:ascii="Arial" w:hAnsi="Arial" w:cs="Arial"/>
          <w:sz w:val="22"/>
          <w:szCs w:val="22"/>
        </w:rPr>
        <w:t xml:space="preserve">dem </w:t>
      </w:r>
      <w:r w:rsidRPr="00CC0395">
        <w:rPr>
          <w:rFonts w:ascii="Arial" w:hAnsi="Arial" w:cs="Arial"/>
          <w:sz w:val="22"/>
          <w:szCs w:val="22"/>
        </w:rPr>
        <w:t>Aufenthaltsg</w:t>
      </w:r>
      <w:r>
        <w:rPr>
          <w:rFonts w:ascii="Arial" w:hAnsi="Arial" w:cs="Arial"/>
          <w:sz w:val="22"/>
          <w:szCs w:val="22"/>
        </w:rPr>
        <w:t>e</w:t>
      </w:r>
      <w:r w:rsidRPr="00CC0395">
        <w:rPr>
          <w:rFonts w:ascii="Arial" w:hAnsi="Arial" w:cs="Arial"/>
          <w:sz w:val="22"/>
          <w:szCs w:val="22"/>
        </w:rPr>
        <w:t>set</w:t>
      </w:r>
      <w:r>
        <w:rPr>
          <w:rFonts w:ascii="Arial" w:hAnsi="Arial" w:cs="Arial"/>
          <w:sz w:val="22"/>
          <w:szCs w:val="22"/>
        </w:rPr>
        <w:t xml:space="preserve">z erst ab </w:t>
      </w:r>
      <w:r w:rsidRPr="00CC0395">
        <w:rPr>
          <w:rFonts w:ascii="Arial" w:hAnsi="Arial" w:cs="Arial"/>
          <w:sz w:val="22"/>
          <w:szCs w:val="22"/>
        </w:rPr>
        <w:t>Annahme</w:t>
      </w:r>
      <w:r>
        <w:rPr>
          <w:rFonts w:ascii="Arial" w:hAnsi="Arial" w:cs="Arial"/>
          <w:sz w:val="22"/>
          <w:szCs w:val="22"/>
        </w:rPr>
        <w:t xml:space="preserve"> </w:t>
      </w:r>
      <w:r w:rsidRPr="00CC0395">
        <w:rPr>
          <w:rFonts w:ascii="Arial" w:hAnsi="Arial" w:cs="Arial"/>
          <w:sz w:val="22"/>
          <w:szCs w:val="22"/>
        </w:rPr>
        <w:t>der Eingaben</w:t>
      </w:r>
      <w:r>
        <w:rPr>
          <w:rFonts w:ascii="Arial" w:hAnsi="Arial" w:cs="Arial"/>
          <w:sz w:val="22"/>
          <w:szCs w:val="22"/>
        </w:rPr>
        <w:t xml:space="preserve"> </w:t>
      </w:r>
      <w:r w:rsidRPr="00CC0395">
        <w:rPr>
          <w:rFonts w:ascii="Arial" w:hAnsi="Arial" w:cs="Arial"/>
          <w:sz w:val="22"/>
          <w:szCs w:val="22"/>
        </w:rPr>
        <w:t>zur Beratung</w:t>
      </w:r>
      <w:r>
        <w:rPr>
          <w:rFonts w:ascii="Arial" w:hAnsi="Arial" w:cs="Arial"/>
          <w:sz w:val="22"/>
          <w:szCs w:val="22"/>
        </w:rPr>
        <w:t xml:space="preserve"> </w:t>
      </w:r>
      <w:r w:rsidRPr="00CC0395">
        <w:rPr>
          <w:rFonts w:ascii="Arial" w:hAnsi="Arial" w:cs="Arial"/>
          <w:sz w:val="22"/>
          <w:szCs w:val="22"/>
        </w:rPr>
        <w:t>vorgesehen</w:t>
      </w:r>
      <w:r>
        <w:rPr>
          <w:rFonts w:ascii="Arial" w:hAnsi="Arial" w:cs="Arial"/>
          <w:sz w:val="22"/>
          <w:szCs w:val="22"/>
        </w:rPr>
        <w:t xml:space="preserve"> </w:t>
      </w:r>
      <w:r w:rsidR="00FA37AF">
        <w:rPr>
          <w:rFonts w:ascii="Arial" w:hAnsi="Arial" w:cs="Arial"/>
          <w:sz w:val="22"/>
          <w:szCs w:val="22"/>
        </w:rPr>
        <w:t xml:space="preserve">und dass die Regelungen zur Belehrung der vollziehbar ausreisepflichtigen Ausländerinnen und Ausländer über die Möglichkeit der Eingabe an die Härtefallkommission auf ein Mindestmaß reduziert </w:t>
      </w:r>
      <w:r>
        <w:rPr>
          <w:rFonts w:ascii="Arial" w:hAnsi="Arial" w:cs="Arial"/>
          <w:sz w:val="22"/>
          <w:szCs w:val="22"/>
        </w:rPr>
        <w:t>werde</w:t>
      </w:r>
      <w:r w:rsidR="00FA37AF">
        <w:rPr>
          <w:rFonts w:ascii="Arial" w:hAnsi="Arial" w:cs="Arial"/>
          <w:sz w:val="22"/>
          <w:szCs w:val="22"/>
        </w:rPr>
        <w:t>.</w:t>
      </w:r>
    </w:p>
    <w:p w14:paraId="5EFD8D4E" w14:textId="77777777" w:rsidR="004617F0" w:rsidRDefault="004617F0" w:rsidP="000B35AE">
      <w:pPr>
        <w:ind w:right="-428"/>
        <w:jc w:val="both"/>
        <w:rPr>
          <w:rFonts w:ascii="Arial" w:hAnsi="Arial" w:cs="Arial"/>
          <w:sz w:val="22"/>
          <w:szCs w:val="22"/>
        </w:rPr>
      </w:pPr>
    </w:p>
    <w:p w14:paraId="152FB2C6" w14:textId="6A53E5CD" w:rsidR="004617F0" w:rsidRDefault="00FA37AF" w:rsidP="000B35AE">
      <w:pPr>
        <w:ind w:right="-428"/>
        <w:jc w:val="both"/>
        <w:rPr>
          <w:rFonts w:ascii="Arial" w:hAnsi="Arial" w:cs="Arial"/>
          <w:sz w:val="22"/>
          <w:szCs w:val="22"/>
        </w:rPr>
      </w:pPr>
      <w:r w:rsidRPr="00D80060">
        <w:rPr>
          <w:rFonts w:ascii="Arial" w:hAnsi="Arial" w:cs="Arial"/>
          <w:b/>
          <w:bCs/>
          <w:sz w:val="22"/>
          <w:szCs w:val="22"/>
        </w:rPr>
        <w:t>Dr. Joachim Schwind</w:t>
      </w:r>
      <w:r>
        <w:rPr>
          <w:rFonts w:ascii="Arial" w:hAnsi="Arial" w:cs="Arial"/>
          <w:sz w:val="22"/>
          <w:szCs w:val="22"/>
        </w:rPr>
        <w:t xml:space="preserve">, Geschäftsführendes Präsidialmitglied und Hauptgeschäftsführer des Niedersächsischen Landkreistages: </w:t>
      </w:r>
    </w:p>
    <w:p w14:paraId="3B34C6F5" w14:textId="77777777" w:rsidR="00FA37AF" w:rsidRDefault="00FA37AF" w:rsidP="000B35AE">
      <w:pPr>
        <w:ind w:right="-428"/>
        <w:jc w:val="both"/>
        <w:rPr>
          <w:rFonts w:ascii="Arial" w:hAnsi="Arial" w:cs="Arial"/>
          <w:sz w:val="22"/>
          <w:szCs w:val="22"/>
        </w:rPr>
      </w:pPr>
    </w:p>
    <w:p w14:paraId="5F2E132E" w14:textId="77777777" w:rsidR="00D80060" w:rsidRPr="00D80060" w:rsidRDefault="00D80060" w:rsidP="00D80060">
      <w:pPr>
        <w:rPr>
          <w:rFonts w:ascii="Arial" w:hAnsi="Arial" w:cs="Arial"/>
          <w:sz w:val="22"/>
          <w:szCs w:val="22"/>
        </w:rPr>
      </w:pPr>
      <w:r w:rsidRPr="00D80060">
        <w:rPr>
          <w:rFonts w:ascii="Arial" w:hAnsi="Arial" w:cs="Arial"/>
          <w:sz w:val="22"/>
          <w:szCs w:val="22"/>
        </w:rPr>
        <w:t>„Das Härtefallverfahren ermöglicht es, in besonders gelagerten Fällen humanitären Gesichtspunkten Rechnung zu tragen. Gerade deshalb muss sichergestellt sein, dass die Kommission arbeitsfähig bleibt und sich auf die Fälle konzentrieren kann, für die dieses besondere Instrument geschaffen wurde. Die ehrenamtlich tätigen Mitglieder der Härtefallkommission leisten eine verantwortungsvolle Arbeit. Die Änderungen des Verfahrens sind ein wichtiger Schritt und schlicht notwendig, um die Funktionsfähigkeit der Härtefallkommission dauerhaft zu sichern und die Akzeptanz in der Bevölkerung für das Bestehen der Härtefallmöglichkeit zu erhalten.“</w:t>
      </w:r>
    </w:p>
    <w:p w14:paraId="774D8169" w14:textId="77777777" w:rsidR="00FA37AF" w:rsidRDefault="00FA37AF" w:rsidP="000B35AE">
      <w:pPr>
        <w:ind w:right="-428"/>
        <w:jc w:val="both"/>
        <w:rPr>
          <w:rFonts w:ascii="Arial" w:hAnsi="Arial" w:cs="Arial"/>
          <w:sz w:val="22"/>
          <w:szCs w:val="22"/>
        </w:rPr>
      </w:pPr>
    </w:p>
    <w:p w14:paraId="7ED9D988" w14:textId="7073B15E" w:rsidR="00FA37AF" w:rsidRDefault="00FA37AF" w:rsidP="000B35AE">
      <w:pPr>
        <w:ind w:right="-428"/>
        <w:jc w:val="both"/>
        <w:rPr>
          <w:rFonts w:ascii="Arial" w:hAnsi="Arial" w:cs="Arial"/>
          <w:sz w:val="22"/>
          <w:szCs w:val="22"/>
        </w:rPr>
      </w:pPr>
      <w:r>
        <w:rPr>
          <w:rFonts w:ascii="Arial" w:hAnsi="Arial" w:cs="Arial"/>
          <w:sz w:val="22"/>
          <w:szCs w:val="22"/>
        </w:rPr>
        <w:t xml:space="preserve">Präsident des Niedersächsischen Städte- und Gemeindebundes, </w:t>
      </w:r>
      <w:r w:rsidRPr="00D80060">
        <w:rPr>
          <w:rFonts w:ascii="Arial" w:hAnsi="Arial" w:cs="Arial"/>
          <w:b/>
          <w:bCs/>
          <w:sz w:val="22"/>
          <w:szCs w:val="22"/>
        </w:rPr>
        <w:t>Dr. Marco Trips</w:t>
      </w:r>
      <w:r>
        <w:rPr>
          <w:rFonts w:ascii="Arial" w:hAnsi="Arial" w:cs="Arial"/>
          <w:sz w:val="22"/>
          <w:szCs w:val="22"/>
        </w:rPr>
        <w:t>:</w:t>
      </w:r>
    </w:p>
    <w:p w14:paraId="4F49F644" w14:textId="77777777" w:rsidR="00FA37AF" w:rsidRDefault="00FA37AF" w:rsidP="000B35AE">
      <w:pPr>
        <w:ind w:right="-428"/>
        <w:jc w:val="both"/>
        <w:rPr>
          <w:rFonts w:ascii="Arial" w:hAnsi="Arial" w:cs="Arial"/>
          <w:sz w:val="22"/>
          <w:szCs w:val="22"/>
        </w:rPr>
      </w:pPr>
    </w:p>
    <w:p w14:paraId="213AB19C" w14:textId="2F531166" w:rsidR="00FA37AF" w:rsidRDefault="000F56BF" w:rsidP="000B35AE">
      <w:pPr>
        <w:ind w:right="-428"/>
        <w:jc w:val="both"/>
        <w:rPr>
          <w:rFonts w:ascii="Arial" w:hAnsi="Arial" w:cs="Arial"/>
          <w:sz w:val="22"/>
          <w:szCs w:val="22"/>
        </w:rPr>
      </w:pPr>
      <w:r w:rsidRPr="000F56BF">
        <w:rPr>
          <w:rFonts w:ascii="Arial" w:hAnsi="Arial" w:cs="Arial"/>
          <w:sz w:val="22"/>
          <w:szCs w:val="22"/>
        </w:rPr>
        <w:t>„Die strukturelle Überlastung des Härtefallverfahrens zeigt, dass es klarere und effizientere Regelungen braucht, um dieses Instrument funktionsfähig zu erhalten. Vor diesem Hintergrund begrüßen wir den eingeschlagenen Weg. Ziel muss es sein, die Abläufe einfacher und schneller zu gestalten, damit sich das Härtefallverfahren auf die Fälle konzentrieren kann, für die es geschaffen wurde.“</w:t>
      </w:r>
    </w:p>
    <w:p w14:paraId="05717E98" w14:textId="77777777" w:rsidR="000F56BF" w:rsidRDefault="000F56BF" w:rsidP="000B35AE">
      <w:pPr>
        <w:ind w:right="-428"/>
        <w:jc w:val="both"/>
        <w:rPr>
          <w:rFonts w:ascii="Arial" w:hAnsi="Arial" w:cs="Arial"/>
          <w:sz w:val="22"/>
          <w:szCs w:val="22"/>
        </w:rPr>
      </w:pPr>
    </w:p>
    <w:p w14:paraId="6DDBC565" w14:textId="4C8789C7" w:rsidR="004617F0" w:rsidRDefault="00FA37AF" w:rsidP="000B35AE">
      <w:pPr>
        <w:ind w:right="-428"/>
        <w:jc w:val="both"/>
        <w:rPr>
          <w:rFonts w:ascii="Arial" w:hAnsi="Arial" w:cs="Arial"/>
          <w:sz w:val="22"/>
          <w:szCs w:val="22"/>
        </w:rPr>
      </w:pPr>
      <w:r>
        <w:rPr>
          <w:rFonts w:ascii="Arial" w:hAnsi="Arial" w:cs="Arial"/>
          <w:sz w:val="22"/>
          <w:szCs w:val="22"/>
        </w:rPr>
        <w:t xml:space="preserve">Die kommunalen Spitzenverbände unterstützen gemeinsam den vom Innenministerium eingeschlagenen Weg, die Niedersächsische Härtefallkommissionsverordnung grundlegend zu novellieren. Die hohen Eingabezahlen seien von der Kommission nicht mehr zu bewältigen und widersprechen </w:t>
      </w:r>
      <w:r w:rsidR="00C27E8B">
        <w:rPr>
          <w:rFonts w:ascii="Arial" w:hAnsi="Arial" w:cs="Arial"/>
          <w:sz w:val="22"/>
          <w:szCs w:val="22"/>
        </w:rPr>
        <w:t>auch</w:t>
      </w:r>
      <w:r>
        <w:rPr>
          <w:rFonts w:ascii="Arial" w:hAnsi="Arial" w:cs="Arial"/>
          <w:sz w:val="22"/>
          <w:szCs w:val="22"/>
        </w:rPr>
        <w:t xml:space="preserve"> dem dargestellten Ausnahmecharakter.</w:t>
      </w:r>
    </w:p>
    <w:p w14:paraId="3F4AE65D" w14:textId="77777777" w:rsidR="00FA37AF" w:rsidRDefault="00FA37AF" w:rsidP="000B35AE">
      <w:pPr>
        <w:ind w:right="-428"/>
        <w:jc w:val="both"/>
        <w:rPr>
          <w:rFonts w:ascii="Arial" w:hAnsi="Arial" w:cs="Arial"/>
          <w:sz w:val="22"/>
          <w:szCs w:val="22"/>
        </w:rPr>
      </w:pPr>
    </w:p>
    <w:p w14:paraId="034A1E35" w14:textId="77777777" w:rsidR="00FA37AF" w:rsidRDefault="00FA37AF" w:rsidP="000B35AE">
      <w:pPr>
        <w:ind w:right="-428"/>
        <w:jc w:val="both"/>
        <w:rPr>
          <w:rFonts w:ascii="Arial" w:hAnsi="Arial" w:cs="Arial"/>
          <w:sz w:val="22"/>
          <w:szCs w:val="22"/>
        </w:rPr>
      </w:pPr>
    </w:p>
    <w:p w14:paraId="33D33D07" w14:textId="77777777" w:rsidR="00FA37AF" w:rsidRDefault="00FA37AF" w:rsidP="000B35AE">
      <w:pPr>
        <w:ind w:right="-428"/>
        <w:jc w:val="both"/>
        <w:rPr>
          <w:rFonts w:ascii="Arial" w:hAnsi="Arial" w:cs="Arial"/>
          <w:sz w:val="22"/>
          <w:szCs w:val="22"/>
        </w:rPr>
      </w:pPr>
    </w:p>
    <w:p w14:paraId="1BD747F2" w14:textId="77777777" w:rsidR="004617F0" w:rsidRPr="000B35AE" w:rsidRDefault="004617F0" w:rsidP="000B35AE">
      <w:pPr>
        <w:ind w:right="-428"/>
        <w:jc w:val="both"/>
        <w:rPr>
          <w:rFonts w:ascii="Arial" w:hAnsi="Arial" w:cs="Arial"/>
          <w:sz w:val="22"/>
          <w:szCs w:val="22"/>
        </w:rPr>
      </w:pPr>
    </w:p>
    <w:p w14:paraId="414E1F16" w14:textId="77777777" w:rsidR="005712F5" w:rsidRPr="004617F0" w:rsidRDefault="005712F5" w:rsidP="000B35AE">
      <w:pPr>
        <w:jc w:val="both"/>
        <w:rPr>
          <w:rFonts w:ascii="Arial" w:hAnsi="Arial" w:cs="Arial"/>
          <w:i/>
          <w:sz w:val="22"/>
          <w:szCs w:val="22"/>
          <w:u w:val="single"/>
        </w:rPr>
      </w:pPr>
      <w:r w:rsidRPr="004617F0">
        <w:rPr>
          <w:rFonts w:ascii="Arial" w:hAnsi="Arial" w:cs="Arial"/>
          <w:sz w:val="22"/>
          <w:szCs w:val="22"/>
          <w:u w:val="single"/>
        </w:rPr>
        <w:t xml:space="preserve">Ansprechpartner: </w:t>
      </w:r>
    </w:p>
    <w:p w14:paraId="39B9EADB" w14:textId="77777777" w:rsidR="004617F0" w:rsidRPr="000B35AE" w:rsidRDefault="004617F0" w:rsidP="004617F0">
      <w:pPr>
        <w:jc w:val="both"/>
        <w:rPr>
          <w:rFonts w:ascii="Arial" w:hAnsi="Arial" w:cs="Arial"/>
          <w:i/>
          <w:sz w:val="22"/>
          <w:szCs w:val="22"/>
        </w:rPr>
      </w:pPr>
      <w:r w:rsidRPr="000B35AE">
        <w:rPr>
          <w:rFonts w:ascii="Arial" w:hAnsi="Arial" w:cs="Arial"/>
          <w:i/>
          <w:sz w:val="22"/>
          <w:szCs w:val="22"/>
        </w:rPr>
        <w:t xml:space="preserve">Stefan Wittkop, 0511 368 94-13, 0172 5397513, </w:t>
      </w:r>
      <w:hyperlink r:id="rId11" w:history="1">
        <w:r w:rsidRPr="000B35AE">
          <w:rPr>
            <w:rStyle w:val="Hyperlink"/>
            <w:rFonts w:ascii="Arial" w:hAnsi="Arial" w:cs="Arial"/>
            <w:i/>
            <w:sz w:val="22"/>
            <w:szCs w:val="22"/>
          </w:rPr>
          <w:t>wittkop@nst.de</w:t>
        </w:r>
      </w:hyperlink>
      <w:r w:rsidRPr="000B35AE">
        <w:rPr>
          <w:rFonts w:ascii="Arial" w:hAnsi="Arial" w:cs="Arial"/>
          <w:i/>
          <w:sz w:val="22"/>
          <w:szCs w:val="22"/>
        </w:rPr>
        <w:t xml:space="preserve"> </w:t>
      </w:r>
    </w:p>
    <w:p w14:paraId="5A211C19" w14:textId="680DB048" w:rsidR="00D80060" w:rsidRDefault="00D80060" w:rsidP="004617F0">
      <w:pPr>
        <w:jc w:val="both"/>
        <w:rPr>
          <w:rFonts w:ascii="Arial" w:hAnsi="Arial" w:cs="Arial"/>
          <w:i/>
          <w:sz w:val="22"/>
          <w:szCs w:val="22"/>
        </w:rPr>
      </w:pPr>
      <w:r w:rsidRPr="00D80060">
        <w:rPr>
          <w:rFonts w:ascii="Arial" w:hAnsi="Arial" w:cs="Arial"/>
          <w:i/>
          <w:sz w:val="22"/>
          <w:szCs w:val="22"/>
        </w:rPr>
        <w:t xml:space="preserve">Cara Loth, 0511 879 53-41, </w:t>
      </w:r>
      <w:hyperlink r:id="rId12" w:history="1">
        <w:r w:rsidRPr="003B672B">
          <w:rPr>
            <w:rStyle w:val="Hyperlink"/>
            <w:rFonts w:ascii="Arial" w:hAnsi="Arial" w:cs="Arial"/>
            <w:i/>
            <w:sz w:val="22"/>
            <w:szCs w:val="22"/>
          </w:rPr>
          <w:t>medien@nlt.de</w:t>
        </w:r>
      </w:hyperlink>
    </w:p>
    <w:p w14:paraId="0DC6332A" w14:textId="50369C90" w:rsidR="004617F0" w:rsidRPr="000B35AE" w:rsidRDefault="004617F0" w:rsidP="004617F0">
      <w:pPr>
        <w:jc w:val="both"/>
        <w:rPr>
          <w:rFonts w:ascii="Arial" w:hAnsi="Arial" w:cs="Arial"/>
          <w:i/>
          <w:sz w:val="22"/>
          <w:szCs w:val="22"/>
        </w:rPr>
      </w:pPr>
      <w:r w:rsidRPr="000B35AE">
        <w:rPr>
          <w:rFonts w:ascii="Arial" w:hAnsi="Arial" w:cs="Arial"/>
          <w:i/>
          <w:sz w:val="22"/>
          <w:szCs w:val="22"/>
        </w:rPr>
        <w:t>Andreas Kröling,</w:t>
      </w:r>
      <w:r w:rsidRPr="000B35AE">
        <w:rPr>
          <w:rFonts w:ascii="Arial" w:hAnsi="Arial" w:cs="Arial"/>
          <w:sz w:val="22"/>
          <w:szCs w:val="22"/>
        </w:rPr>
        <w:t xml:space="preserve"> </w:t>
      </w:r>
      <w:r w:rsidRPr="000B35AE">
        <w:rPr>
          <w:rFonts w:ascii="Arial" w:hAnsi="Arial" w:cs="Arial"/>
          <w:i/>
          <w:sz w:val="22"/>
          <w:szCs w:val="22"/>
        </w:rPr>
        <w:t xml:space="preserve">0511 302 85-44, </w:t>
      </w:r>
      <w:hyperlink r:id="rId13" w:history="1">
        <w:r w:rsidRPr="000B35AE">
          <w:rPr>
            <w:rStyle w:val="Hyperlink"/>
            <w:rFonts w:ascii="Arial" w:hAnsi="Arial" w:cs="Arial"/>
            <w:i/>
            <w:sz w:val="22"/>
            <w:szCs w:val="22"/>
          </w:rPr>
          <w:t>kroeling@nsgb.de</w:t>
        </w:r>
      </w:hyperlink>
      <w:r w:rsidRPr="000B35AE">
        <w:rPr>
          <w:rFonts w:ascii="Arial" w:hAnsi="Arial" w:cs="Arial"/>
          <w:i/>
          <w:sz w:val="22"/>
          <w:szCs w:val="22"/>
        </w:rPr>
        <w:t xml:space="preserve"> </w:t>
      </w:r>
    </w:p>
    <w:p w14:paraId="389E6FDC" w14:textId="77777777" w:rsidR="005712F5" w:rsidRPr="000B35AE" w:rsidRDefault="005712F5" w:rsidP="000B35AE">
      <w:pPr>
        <w:ind w:right="-428"/>
        <w:jc w:val="both"/>
        <w:rPr>
          <w:rFonts w:ascii="Arial" w:hAnsi="Arial" w:cs="Arial"/>
          <w:sz w:val="22"/>
          <w:szCs w:val="22"/>
        </w:rPr>
      </w:pPr>
    </w:p>
    <w:sectPr w:rsidR="005712F5" w:rsidRPr="000B35AE" w:rsidSect="007F602E">
      <w:type w:val="continuous"/>
      <w:pgSz w:w="11906" w:h="16838" w:code="9"/>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C70F2" w14:textId="77777777" w:rsidR="00C86B5F" w:rsidRDefault="00C86B5F" w:rsidP="0064784A">
      <w:r>
        <w:separator/>
      </w:r>
    </w:p>
  </w:endnote>
  <w:endnote w:type="continuationSeparator" w:id="0">
    <w:p w14:paraId="25A10B1C" w14:textId="77777777" w:rsidR="00C86B5F" w:rsidRDefault="00C86B5F" w:rsidP="0064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72071" w14:textId="4633C145" w:rsidR="00E41CE2" w:rsidRPr="003E2E19" w:rsidRDefault="00417ADC" w:rsidP="003E2E19">
    <w:pPr>
      <w:pStyle w:val="Fuzeile"/>
      <w:rPr>
        <w:rFonts w:ascii="Arial" w:hAnsi="Arial" w:cs="Arial"/>
        <w:sz w:val="8"/>
        <w:szCs w:val="8"/>
      </w:rPr>
    </w:pPr>
    <w:r w:rsidRPr="003E2E19">
      <w:rPr>
        <w:rFonts w:ascii="Arial" w:hAnsi="Arial" w:cs="Arial"/>
        <w:sz w:val="8"/>
        <w:szCs w:val="8"/>
      </w:rPr>
      <w:fldChar w:fldCharType="begin"/>
    </w:r>
    <w:r w:rsidRPr="003E2E19">
      <w:rPr>
        <w:rFonts w:ascii="Arial" w:hAnsi="Arial" w:cs="Arial"/>
        <w:sz w:val="8"/>
        <w:szCs w:val="8"/>
      </w:rPr>
      <w:instrText xml:space="preserve"> IF </w:instrText>
    </w:r>
    <w:r w:rsidRPr="003E2E19">
      <w:rPr>
        <w:rFonts w:ascii="Arial" w:hAnsi="Arial" w:cs="Arial"/>
        <w:sz w:val="8"/>
        <w:szCs w:val="8"/>
      </w:rPr>
      <w:fldChar w:fldCharType="begin"/>
    </w:r>
    <w:r w:rsidRPr="003E2E19">
      <w:rPr>
        <w:rFonts w:ascii="Arial" w:hAnsi="Arial" w:cs="Arial"/>
        <w:sz w:val="8"/>
        <w:szCs w:val="8"/>
      </w:rPr>
      <w:instrText xml:space="preserve"> PAGE </w:instrText>
    </w:r>
    <w:r w:rsidRPr="003E2E19">
      <w:rPr>
        <w:rFonts w:ascii="Arial" w:hAnsi="Arial" w:cs="Arial"/>
        <w:sz w:val="8"/>
        <w:szCs w:val="8"/>
      </w:rPr>
      <w:fldChar w:fldCharType="separate"/>
    </w:r>
    <w:r w:rsidR="00C27E8B">
      <w:rPr>
        <w:rFonts w:ascii="Arial" w:hAnsi="Arial" w:cs="Arial"/>
        <w:noProof/>
        <w:sz w:val="8"/>
        <w:szCs w:val="8"/>
      </w:rPr>
      <w:instrText>2</w:instrText>
    </w:r>
    <w:r w:rsidRPr="003E2E19">
      <w:rPr>
        <w:rFonts w:ascii="Arial" w:hAnsi="Arial" w:cs="Arial"/>
        <w:sz w:val="8"/>
        <w:szCs w:val="8"/>
      </w:rPr>
      <w:fldChar w:fldCharType="end"/>
    </w:r>
    <w:r w:rsidRPr="003E2E19">
      <w:rPr>
        <w:rFonts w:ascii="Arial" w:hAnsi="Arial" w:cs="Arial"/>
        <w:sz w:val="8"/>
        <w:szCs w:val="8"/>
      </w:rPr>
      <w:instrText>=</w:instrText>
    </w:r>
    <w:r w:rsidRPr="003E2E19">
      <w:rPr>
        <w:rFonts w:ascii="Arial" w:hAnsi="Arial" w:cs="Arial"/>
        <w:sz w:val="8"/>
        <w:szCs w:val="8"/>
      </w:rPr>
      <w:fldChar w:fldCharType="begin"/>
    </w:r>
    <w:r w:rsidRPr="003E2E19">
      <w:rPr>
        <w:rFonts w:ascii="Arial" w:hAnsi="Arial" w:cs="Arial"/>
        <w:sz w:val="8"/>
        <w:szCs w:val="8"/>
      </w:rPr>
      <w:instrText xml:space="preserve"> NUMPAGES </w:instrText>
    </w:r>
    <w:r w:rsidRPr="003E2E19">
      <w:rPr>
        <w:rFonts w:ascii="Arial" w:hAnsi="Arial" w:cs="Arial"/>
        <w:sz w:val="8"/>
        <w:szCs w:val="8"/>
      </w:rPr>
      <w:fldChar w:fldCharType="separate"/>
    </w:r>
    <w:r w:rsidR="00C27E8B">
      <w:rPr>
        <w:rFonts w:ascii="Arial" w:hAnsi="Arial" w:cs="Arial"/>
        <w:noProof/>
        <w:sz w:val="8"/>
        <w:szCs w:val="8"/>
      </w:rPr>
      <w:instrText>2</w:instrText>
    </w:r>
    <w:r w:rsidRPr="003E2E19">
      <w:rPr>
        <w:rFonts w:ascii="Arial" w:hAnsi="Arial" w:cs="Arial"/>
        <w:sz w:val="8"/>
        <w:szCs w:val="8"/>
      </w:rPr>
      <w:fldChar w:fldCharType="end"/>
    </w:r>
    <w:r w:rsidRPr="003E2E19">
      <w:rPr>
        <w:rFonts w:ascii="Arial" w:hAnsi="Arial" w:cs="Arial"/>
        <w:sz w:val="8"/>
        <w:szCs w:val="8"/>
      </w:rPr>
      <w:instrText xml:space="preserve"> „“ „.....“</w:instrText>
    </w:r>
    <w:r w:rsidRPr="003E2E19">
      <w:rPr>
        <w:rFonts w:ascii="Arial" w:hAnsi="Arial" w:cs="Arial"/>
        <w:sz w:val="8"/>
        <w:szCs w:val="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407CC" w14:textId="77777777" w:rsidR="00E41CE2" w:rsidRPr="007F602E" w:rsidRDefault="00E41CE2">
    <w:pPr>
      <w:pStyle w:val="Fuzeile"/>
      <w:spacing w:after="240"/>
      <w:rPr>
        <w:rFonts w:ascii="Arial" w:hAnsi="Arial" w:cs="Arial"/>
      </w:rPr>
    </w:pPr>
  </w:p>
  <w:tbl>
    <w:tblPr>
      <w:tblW w:w="9281" w:type="dxa"/>
      <w:tblBorders>
        <w:top w:val="single" w:sz="4" w:space="0" w:color="auto"/>
      </w:tblBorders>
      <w:tblLayout w:type="fixed"/>
      <w:tblCellMar>
        <w:left w:w="70" w:type="dxa"/>
        <w:right w:w="70" w:type="dxa"/>
      </w:tblCellMar>
      <w:tblLook w:val="0000" w:firstRow="0" w:lastRow="0" w:firstColumn="0" w:lastColumn="0" w:noHBand="0" w:noVBand="0"/>
    </w:tblPr>
    <w:tblGrid>
      <w:gridCol w:w="2552"/>
      <w:gridCol w:w="2693"/>
      <w:gridCol w:w="1843"/>
      <w:gridCol w:w="2193"/>
    </w:tblGrid>
    <w:tr w:rsidR="001422D5" w14:paraId="4B922B4A" w14:textId="77777777" w:rsidTr="00B66050">
      <w:tc>
        <w:tcPr>
          <w:tcW w:w="2552" w:type="dxa"/>
        </w:tcPr>
        <w:p w14:paraId="108C014B" w14:textId="77777777" w:rsidR="00E41CE2" w:rsidRPr="00B66050" w:rsidRDefault="00417ADC" w:rsidP="00B66050">
          <w:pPr>
            <w:pStyle w:val="Fuzeile"/>
            <w:spacing w:before="120"/>
            <w:rPr>
              <w:rFonts w:ascii="Arial Narrow" w:hAnsi="Arial Narrow"/>
              <w:snapToGrid w:val="0"/>
              <w:sz w:val="16"/>
              <w:szCs w:val="16"/>
            </w:rPr>
          </w:pPr>
          <w:r w:rsidRPr="00B66050">
            <w:rPr>
              <w:rFonts w:ascii="Arial Narrow" w:hAnsi="Arial Narrow"/>
              <w:snapToGrid w:val="0"/>
              <w:sz w:val="16"/>
              <w:szCs w:val="16"/>
            </w:rPr>
            <w:t>Arbeitsgemeinschaft der kommunalen</w:t>
          </w:r>
        </w:p>
        <w:p w14:paraId="661A481A" w14:textId="77777777" w:rsidR="00E41CE2" w:rsidRDefault="00417ADC" w:rsidP="00B66050">
          <w:pPr>
            <w:pStyle w:val="Fuzeile"/>
          </w:pPr>
          <w:r w:rsidRPr="00B66050">
            <w:rPr>
              <w:rFonts w:ascii="Arial Narrow" w:hAnsi="Arial Narrow"/>
              <w:snapToGrid w:val="0"/>
              <w:sz w:val="16"/>
              <w:szCs w:val="16"/>
            </w:rPr>
            <w:t>Spitzenverbände Niedersachsens</w:t>
          </w:r>
        </w:p>
      </w:tc>
      <w:tc>
        <w:tcPr>
          <w:tcW w:w="2693" w:type="dxa"/>
        </w:tcPr>
        <w:p w14:paraId="194CED95" w14:textId="2B92CEEC" w:rsidR="00E41CE2" w:rsidRDefault="00417ADC">
          <w:pPr>
            <w:pStyle w:val="Fuzeile"/>
            <w:spacing w:before="120"/>
            <w:rPr>
              <w:rFonts w:ascii="Arial Narrow" w:hAnsi="Arial Narrow"/>
              <w:snapToGrid w:val="0"/>
              <w:color w:val="000000"/>
              <w:sz w:val="16"/>
            </w:rPr>
          </w:pPr>
          <w:r>
            <w:rPr>
              <w:rFonts w:ascii="Arial Narrow" w:hAnsi="Arial Narrow"/>
              <w:snapToGrid w:val="0"/>
              <w:color w:val="000000"/>
              <w:sz w:val="16"/>
            </w:rPr>
            <w:t xml:space="preserve">c/o </w:t>
          </w:r>
          <w:r w:rsidR="000B35AE">
            <w:rPr>
              <w:rFonts w:ascii="Arial Narrow" w:hAnsi="Arial Narrow"/>
              <w:snapToGrid w:val="0"/>
              <w:color w:val="000000"/>
              <w:sz w:val="16"/>
            </w:rPr>
            <w:t>Niedersächsischer Städtetag</w:t>
          </w:r>
        </w:p>
        <w:p w14:paraId="37432254" w14:textId="6D09A391" w:rsidR="00E41CE2" w:rsidRDefault="000B35AE" w:rsidP="00B66050">
          <w:pPr>
            <w:pStyle w:val="Fuzeile"/>
          </w:pPr>
          <w:r>
            <w:rPr>
              <w:rFonts w:ascii="Arial Narrow" w:hAnsi="Arial Narrow"/>
              <w:snapToGrid w:val="0"/>
              <w:color w:val="000000"/>
              <w:sz w:val="16"/>
            </w:rPr>
            <w:t>Warmbüchenkamp 4</w:t>
          </w:r>
          <w:r w:rsidR="00417ADC">
            <w:rPr>
              <w:rFonts w:ascii="Arial Narrow" w:hAnsi="Arial Narrow"/>
              <w:snapToGrid w:val="0"/>
              <w:color w:val="000000"/>
              <w:sz w:val="16"/>
            </w:rPr>
            <w:t xml:space="preserve">, </w:t>
          </w:r>
          <w:r w:rsidR="00417ADC">
            <w:rPr>
              <w:rFonts w:ascii="Arial Narrow" w:hAnsi="Arial Narrow"/>
              <w:snapToGrid w:val="0"/>
              <w:sz w:val="16"/>
            </w:rPr>
            <w:t>301</w:t>
          </w:r>
          <w:r>
            <w:rPr>
              <w:rFonts w:ascii="Arial Narrow" w:hAnsi="Arial Narrow"/>
              <w:snapToGrid w:val="0"/>
              <w:sz w:val="16"/>
            </w:rPr>
            <w:t>5</w:t>
          </w:r>
          <w:r w:rsidR="00417ADC">
            <w:rPr>
              <w:rFonts w:ascii="Arial Narrow" w:hAnsi="Arial Narrow"/>
              <w:snapToGrid w:val="0"/>
              <w:sz w:val="16"/>
            </w:rPr>
            <w:t>9 Hannover</w:t>
          </w:r>
        </w:p>
      </w:tc>
      <w:tc>
        <w:tcPr>
          <w:tcW w:w="1843" w:type="dxa"/>
        </w:tcPr>
        <w:p w14:paraId="2588C902" w14:textId="0F2C328E" w:rsidR="00E41CE2" w:rsidRDefault="00417ADC" w:rsidP="00493B90">
          <w:pPr>
            <w:pStyle w:val="Fuzeile"/>
            <w:tabs>
              <w:tab w:val="left" w:pos="355"/>
            </w:tabs>
            <w:spacing w:before="120"/>
          </w:pPr>
          <w:r>
            <w:rPr>
              <w:rFonts w:ascii="Arial Narrow" w:hAnsi="Arial Narrow"/>
              <w:snapToGrid w:val="0"/>
              <w:color w:val="000000"/>
              <w:sz w:val="16"/>
            </w:rPr>
            <w:t xml:space="preserve">Tel.: </w:t>
          </w:r>
          <w:r>
            <w:rPr>
              <w:rFonts w:ascii="Arial Narrow" w:hAnsi="Arial Narrow"/>
              <w:snapToGrid w:val="0"/>
              <w:color w:val="000000"/>
              <w:sz w:val="16"/>
            </w:rPr>
            <w:tab/>
            <w:t xml:space="preserve">(05 11) </w:t>
          </w:r>
          <w:r w:rsidR="000B35AE">
            <w:rPr>
              <w:rFonts w:ascii="Arial Narrow" w:hAnsi="Arial Narrow"/>
              <w:snapToGrid w:val="0"/>
              <w:color w:val="000000"/>
              <w:sz w:val="16"/>
            </w:rPr>
            <w:t>36894</w:t>
          </w:r>
          <w:r>
            <w:rPr>
              <w:rFonts w:ascii="Arial Narrow" w:hAnsi="Arial Narrow"/>
              <w:snapToGrid w:val="0"/>
              <w:color w:val="000000"/>
              <w:sz w:val="16"/>
            </w:rPr>
            <w:t xml:space="preserve"> - 0</w:t>
          </w:r>
          <w:r>
            <w:rPr>
              <w:rFonts w:ascii="Arial Narrow" w:hAnsi="Arial Narrow"/>
              <w:snapToGrid w:val="0"/>
              <w:color w:val="000000"/>
              <w:sz w:val="16"/>
            </w:rPr>
            <w:br/>
          </w:r>
        </w:p>
      </w:tc>
      <w:tc>
        <w:tcPr>
          <w:tcW w:w="2193" w:type="dxa"/>
        </w:tcPr>
        <w:p w14:paraId="0B941910" w14:textId="77777777" w:rsidR="00E41CE2" w:rsidRPr="0064784A" w:rsidRDefault="00417ADC" w:rsidP="0064784A">
          <w:pPr>
            <w:pStyle w:val="Fuzeile"/>
            <w:tabs>
              <w:tab w:val="left" w:pos="638"/>
            </w:tabs>
            <w:spacing w:before="120"/>
            <w:rPr>
              <w:rFonts w:ascii="Arial Narrow" w:hAnsi="Arial Narrow"/>
              <w:snapToGrid w:val="0"/>
              <w:color w:val="000000"/>
              <w:sz w:val="16"/>
            </w:rPr>
          </w:pPr>
          <w:r>
            <w:rPr>
              <w:rFonts w:ascii="Arial Narrow" w:hAnsi="Arial Narrow"/>
              <w:snapToGrid w:val="0"/>
              <w:color w:val="000000"/>
              <w:sz w:val="16"/>
            </w:rPr>
            <w:t>E-Mail:</w:t>
          </w:r>
          <w:r>
            <w:rPr>
              <w:rFonts w:ascii="Arial Narrow" w:hAnsi="Arial Narrow"/>
              <w:snapToGrid w:val="0"/>
              <w:color w:val="000000"/>
              <w:sz w:val="16"/>
            </w:rPr>
            <w:tab/>
          </w:r>
          <w:r w:rsidRPr="00B66050">
            <w:rPr>
              <w:rFonts w:ascii="Arial Narrow" w:hAnsi="Arial Narrow"/>
              <w:snapToGrid w:val="0"/>
              <w:color w:val="000000"/>
              <w:sz w:val="16"/>
            </w:rPr>
            <w:t>post@agksv.de</w:t>
          </w:r>
          <w:r>
            <w:rPr>
              <w:rFonts w:ascii="Arial Narrow" w:hAnsi="Arial Narrow"/>
              <w:snapToGrid w:val="0"/>
              <w:color w:val="000000"/>
              <w:sz w:val="16"/>
            </w:rPr>
            <w:t xml:space="preserve"> </w:t>
          </w:r>
        </w:p>
      </w:tc>
    </w:tr>
  </w:tbl>
  <w:p w14:paraId="4193A3BA" w14:textId="77777777" w:rsidR="00E41CE2" w:rsidRPr="007F602E" w:rsidRDefault="00E41CE2">
    <w:pPr>
      <w:pStyle w:val="Fuzeile"/>
      <w:rPr>
        <w:rFonts w:ascii="Arial" w:hAnsi="Arial" w:cs="Arial"/>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4F680" w14:textId="77777777" w:rsidR="00C86B5F" w:rsidRDefault="00C86B5F" w:rsidP="0064784A">
      <w:r>
        <w:separator/>
      </w:r>
    </w:p>
  </w:footnote>
  <w:footnote w:type="continuationSeparator" w:id="0">
    <w:p w14:paraId="4069C1F6" w14:textId="77777777" w:rsidR="00C86B5F" w:rsidRDefault="00C86B5F" w:rsidP="00647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1804883"/>
      <w:docPartObj>
        <w:docPartGallery w:val="Page Numbers (Top of Page)"/>
        <w:docPartUnique/>
      </w:docPartObj>
    </w:sdtPr>
    <w:sdtEndPr>
      <w:rPr>
        <w:rFonts w:ascii="Arial" w:hAnsi="Arial" w:cs="Arial"/>
        <w:sz w:val="22"/>
      </w:rPr>
    </w:sdtEndPr>
    <w:sdtContent>
      <w:p w14:paraId="673271ED" w14:textId="78FD97A3" w:rsidR="007F602E" w:rsidRPr="007F602E" w:rsidRDefault="007F602E" w:rsidP="007F602E">
        <w:pPr>
          <w:pStyle w:val="Kopfzeile"/>
          <w:jc w:val="center"/>
          <w:rPr>
            <w:rFonts w:ascii="Arial" w:hAnsi="Arial" w:cs="Arial"/>
            <w:sz w:val="22"/>
          </w:rPr>
        </w:pPr>
        <w:r w:rsidRPr="007F602E">
          <w:rPr>
            <w:rFonts w:ascii="Arial" w:hAnsi="Arial" w:cs="Arial"/>
            <w:sz w:val="22"/>
          </w:rPr>
          <w:fldChar w:fldCharType="begin"/>
        </w:r>
        <w:r w:rsidRPr="007F602E">
          <w:rPr>
            <w:rFonts w:ascii="Arial" w:hAnsi="Arial" w:cs="Arial"/>
            <w:sz w:val="22"/>
          </w:rPr>
          <w:instrText>PAGE   \* MERGEFORMAT</w:instrText>
        </w:r>
        <w:r w:rsidRPr="007F602E">
          <w:rPr>
            <w:rFonts w:ascii="Arial" w:hAnsi="Arial" w:cs="Arial"/>
            <w:sz w:val="22"/>
          </w:rPr>
          <w:fldChar w:fldCharType="separate"/>
        </w:r>
        <w:r w:rsidR="009109FE">
          <w:rPr>
            <w:rFonts w:ascii="Arial" w:hAnsi="Arial" w:cs="Arial"/>
            <w:noProof/>
            <w:sz w:val="22"/>
          </w:rPr>
          <w:t>2</w:t>
        </w:r>
        <w:r w:rsidRPr="007F602E">
          <w:rPr>
            <w:rFonts w:ascii="Arial" w:hAnsi="Arial" w:cs="Arial"/>
            <w:sz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94CC" w14:textId="77777777" w:rsidR="007F602E" w:rsidRPr="0064784A" w:rsidRDefault="007F602E" w:rsidP="007F602E">
    <w:pPr>
      <w:rPr>
        <w:rFonts w:ascii="Arial" w:hAnsi="Arial" w:cs="Arial"/>
        <w:b/>
        <w:sz w:val="36"/>
        <w:szCs w:val="44"/>
      </w:rPr>
    </w:pPr>
    <w:r w:rsidRPr="0064784A">
      <w:rPr>
        <w:rFonts w:ascii="Arial" w:hAnsi="Arial" w:cs="Arial"/>
        <w:b/>
        <w:noProof/>
        <w:sz w:val="36"/>
        <w:szCs w:val="44"/>
      </w:rPr>
      <w:drawing>
        <wp:anchor distT="0" distB="0" distL="114300" distR="114300" simplePos="0" relativeHeight="251661312" behindDoc="0" locked="0" layoutInCell="1" allowOverlap="1" wp14:anchorId="786A3859" wp14:editId="1E00B342">
          <wp:simplePos x="0" y="0"/>
          <wp:positionH relativeFrom="margin">
            <wp:posOffset>5454015</wp:posOffset>
          </wp:positionH>
          <wp:positionV relativeFrom="margin">
            <wp:posOffset>-1434465</wp:posOffset>
          </wp:positionV>
          <wp:extent cx="607695" cy="933450"/>
          <wp:effectExtent l="0" t="0" r="1905" b="0"/>
          <wp:wrapSquare wrapText="bothSides"/>
          <wp:docPr id="1" name="Grafik 1" descr="\\NLTVMFS01\f_Allgemein\NLT-Logos\Logo_NST_grau_mit_Schriftzug_3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LTVMFS01\f_Allgemein\NLT-Logos\Logo_NST_grau_mit_Schriftzug_300.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7695" cy="933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4784A">
      <w:rPr>
        <w:rFonts w:ascii="Arial" w:hAnsi="Arial" w:cs="Arial"/>
        <w:b/>
        <w:noProof/>
        <w:sz w:val="36"/>
        <w:szCs w:val="44"/>
      </w:rPr>
      <w:drawing>
        <wp:anchor distT="0" distB="0" distL="114300" distR="114300" simplePos="0" relativeHeight="251660288" behindDoc="0" locked="0" layoutInCell="1" allowOverlap="1" wp14:anchorId="1BE9A772" wp14:editId="6DC98A4A">
          <wp:simplePos x="0" y="0"/>
          <wp:positionH relativeFrom="margin">
            <wp:posOffset>4072890</wp:posOffset>
          </wp:positionH>
          <wp:positionV relativeFrom="topMargin">
            <wp:posOffset>304800</wp:posOffset>
          </wp:positionV>
          <wp:extent cx="1314450" cy="457200"/>
          <wp:effectExtent l="0" t="0" r="0" b="0"/>
          <wp:wrapSquare wrapText="bothSides"/>
          <wp:docPr id="2" name="Grafik 2" descr="\\NLTVMFS01\f_Allgemein\NLT-Logos\NLT-Logo neu\NLT Logo rgb zugeschnitt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LTVMFS01\f_Allgemein\NLT-Logos\NLT-Logo neu\NLT Logo rgb zugeschnitten.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14450" cy="457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4784A">
      <w:rPr>
        <w:rFonts w:ascii="Arial" w:hAnsi="Arial" w:cs="Arial"/>
        <w:b/>
        <w:sz w:val="36"/>
        <w:szCs w:val="44"/>
      </w:rPr>
      <w:t>Arbeitsgemeinschaft der</w:t>
    </w:r>
  </w:p>
  <w:p w14:paraId="5F5F1DAA" w14:textId="77777777" w:rsidR="007F602E" w:rsidRPr="0064784A" w:rsidRDefault="007F602E" w:rsidP="007F602E">
    <w:pPr>
      <w:rPr>
        <w:rFonts w:ascii="Arial" w:hAnsi="Arial" w:cs="Arial"/>
        <w:b/>
        <w:sz w:val="36"/>
        <w:szCs w:val="44"/>
      </w:rPr>
    </w:pPr>
    <w:r w:rsidRPr="0064784A">
      <w:rPr>
        <w:rFonts w:ascii="Arial" w:hAnsi="Arial" w:cs="Arial"/>
        <w:b/>
        <w:noProof/>
        <w:sz w:val="36"/>
        <w:szCs w:val="44"/>
      </w:rPr>
      <w:drawing>
        <wp:anchor distT="0" distB="0" distL="114300" distR="114300" simplePos="0" relativeHeight="251659264" behindDoc="0" locked="0" layoutInCell="1" allowOverlap="1" wp14:anchorId="67CB3CD4" wp14:editId="7AE98C45">
          <wp:simplePos x="0" y="0"/>
          <wp:positionH relativeFrom="margin">
            <wp:posOffset>4069715</wp:posOffset>
          </wp:positionH>
          <wp:positionV relativeFrom="margin">
            <wp:posOffset>-1015365</wp:posOffset>
          </wp:positionV>
          <wp:extent cx="1109980" cy="476250"/>
          <wp:effectExtent l="0" t="0" r="0" b="0"/>
          <wp:wrapSquare wrapText="bothSides"/>
          <wp:docPr id="3" name="Grafik 3" descr="\\NLTVMFS01\f_Allgemein\NLT-Logos\Logo_NSGB_bunt_4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LTVMFS01\f_Allgemein\NLT-Logos\Logo_NSGB_bunt_4c.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109980" cy="4762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b/>
        <w:sz w:val="36"/>
        <w:szCs w:val="44"/>
      </w:rPr>
      <w:t>k</w:t>
    </w:r>
    <w:r w:rsidRPr="0064784A">
      <w:rPr>
        <w:rFonts w:ascii="Arial" w:hAnsi="Arial" w:cs="Arial"/>
        <w:b/>
        <w:sz w:val="36"/>
        <w:szCs w:val="44"/>
      </w:rPr>
      <w:t>ommunalen Spitzenverbände</w:t>
    </w:r>
  </w:p>
  <w:p w14:paraId="5F01EE81" w14:textId="77777777" w:rsidR="007F602E" w:rsidRPr="00047DE0" w:rsidRDefault="007F602E" w:rsidP="007F602E">
    <w:pPr>
      <w:rPr>
        <w:rFonts w:ascii="Arial Black" w:hAnsi="Arial Black"/>
        <w:sz w:val="32"/>
        <w:szCs w:val="44"/>
      </w:rPr>
    </w:pPr>
    <w:r w:rsidRPr="0064784A">
      <w:rPr>
        <w:rFonts w:ascii="Arial" w:hAnsi="Arial" w:cs="Arial"/>
        <w:b/>
        <w:sz w:val="36"/>
        <w:szCs w:val="44"/>
      </w:rPr>
      <w:t>Niedersachsens</w:t>
    </w:r>
  </w:p>
  <w:p w14:paraId="6827AC58" w14:textId="77777777" w:rsidR="007F602E" w:rsidRPr="000A4A76" w:rsidRDefault="007F602E" w:rsidP="007F602E">
    <w:pPr>
      <w:pStyle w:val="Kopfzeile"/>
      <w:rPr>
        <w:rFonts w:ascii="Arial" w:hAnsi="Arial" w:cs="Arial"/>
        <w:sz w:val="22"/>
        <w:szCs w:val="22"/>
      </w:rPr>
    </w:pPr>
  </w:p>
  <w:p w14:paraId="550B91DF" w14:textId="77777777" w:rsidR="007F602E" w:rsidRDefault="007F602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36DEE"/>
    <w:multiLevelType w:val="hybridMultilevel"/>
    <w:tmpl w:val="6E2020D8"/>
    <w:lvl w:ilvl="0" w:tplc="BCD48F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65C71FB"/>
    <w:multiLevelType w:val="hybridMultilevel"/>
    <w:tmpl w:val="9CB07A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5805647">
    <w:abstractNumId w:val="1"/>
  </w:num>
  <w:num w:numId="2" w16cid:durableId="19026714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attachedTemplate r:id="rId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18FF"/>
    <w:rsid w:val="0000449E"/>
    <w:rsid w:val="00013500"/>
    <w:rsid w:val="00036C00"/>
    <w:rsid w:val="0005176C"/>
    <w:rsid w:val="00073399"/>
    <w:rsid w:val="000734BD"/>
    <w:rsid w:val="00076B17"/>
    <w:rsid w:val="000A4A76"/>
    <w:rsid w:val="000B0EB7"/>
    <w:rsid w:val="000B35AE"/>
    <w:rsid w:val="000D3A7F"/>
    <w:rsid w:val="000D6DF7"/>
    <w:rsid w:val="000F56BF"/>
    <w:rsid w:val="00122DB2"/>
    <w:rsid w:val="00131BF9"/>
    <w:rsid w:val="0016336E"/>
    <w:rsid w:val="00171409"/>
    <w:rsid w:val="00181EF4"/>
    <w:rsid w:val="001B05F1"/>
    <w:rsid w:val="001E4EA4"/>
    <w:rsid w:val="001E7CB7"/>
    <w:rsid w:val="0021008E"/>
    <w:rsid w:val="002178EE"/>
    <w:rsid w:val="002261EF"/>
    <w:rsid w:val="002322AA"/>
    <w:rsid w:val="0024246A"/>
    <w:rsid w:val="0024460A"/>
    <w:rsid w:val="0025402E"/>
    <w:rsid w:val="002563E7"/>
    <w:rsid w:val="0028276E"/>
    <w:rsid w:val="002A54A4"/>
    <w:rsid w:val="002B6BEE"/>
    <w:rsid w:val="002B6CC5"/>
    <w:rsid w:val="00315AB7"/>
    <w:rsid w:val="0033372E"/>
    <w:rsid w:val="003529B4"/>
    <w:rsid w:val="00376A50"/>
    <w:rsid w:val="00386C8A"/>
    <w:rsid w:val="003B2A64"/>
    <w:rsid w:val="003B2DF3"/>
    <w:rsid w:val="003D0FF9"/>
    <w:rsid w:val="003E2E19"/>
    <w:rsid w:val="0040715F"/>
    <w:rsid w:val="00417ADC"/>
    <w:rsid w:val="004416CF"/>
    <w:rsid w:val="00451BCD"/>
    <w:rsid w:val="004617F0"/>
    <w:rsid w:val="004C0BA3"/>
    <w:rsid w:val="004F09C0"/>
    <w:rsid w:val="00517659"/>
    <w:rsid w:val="00570501"/>
    <w:rsid w:val="005712F5"/>
    <w:rsid w:val="00573379"/>
    <w:rsid w:val="005764BC"/>
    <w:rsid w:val="005818FF"/>
    <w:rsid w:val="00581FA5"/>
    <w:rsid w:val="00596539"/>
    <w:rsid w:val="005B0A76"/>
    <w:rsid w:val="005B241A"/>
    <w:rsid w:val="005B6A3F"/>
    <w:rsid w:val="005D0ED7"/>
    <w:rsid w:val="005D53C6"/>
    <w:rsid w:val="005D543F"/>
    <w:rsid w:val="005E0E57"/>
    <w:rsid w:val="005F6D97"/>
    <w:rsid w:val="006101E6"/>
    <w:rsid w:val="006267AA"/>
    <w:rsid w:val="006403D2"/>
    <w:rsid w:val="006421B8"/>
    <w:rsid w:val="0064784A"/>
    <w:rsid w:val="006B250B"/>
    <w:rsid w:val="006B681B"/>
    <w:rsid w:val="006B72C2"/>
    <w:rsid w:val="006C5442"/>
    <w:rsid w:val="006D2949"/>
    <w:rsid w:val="006E6241"/>
    <w:rsid w:val="006F4C48"/>
    <w:rsid w:val="006F4C68"/>
    <w:rsid w:val="00701E16"/>
    <w:rsid w:val="00710EBB"/>
    <w:rsid w:val="00720503"/>
    <w:rsid w:val="00722493"/>
    <w:rsid w:val="0072692F"/>
    <w:rsid w:val="00761B97"/>
    <w:rsid w:val="00776581"/>
    <w:rsid w:val="007A0AF7"/>
    <w:rsid w:val="007D2237"/>
    <w:rsid w:val="007D6F67"/>
    <w:rsid w:val="007E5F62"/>
    <w:rsid w:val="007F602E"/>
    <w:rsid w:val="00804A3D"/>
    <w:rsid w:val="00826F91"/>
    <w:rsid w:val="008275AA"/>
    <w:rsid w:val="008428A7"/>
    <w:rsid w:val="008657FD"/>
    <w:rsid w:val="008743E8"/>
    <w:rsid w:val="00874765"/>
    <w:rsid w:val="00891759"/>
    <w:rsid w:val="008A60B3"/>
    <w:rsid w:val="00901B56"/>
    <w:rsid w:val="009109FE"/>
    <w:rsid w:val="0096020B"/>
    <w:rsid w:val="0096200A"/>
    <w:rsid w:val="00974229"/>
    <w:rsid w:val="00981437"/>
    <w:rsid w:val="009A54BB"/>
    <w:rsid w:val="00A2284C"/>
    <w:rsid w:val="00A527F1"/>
    <w:rsid w:val="00A62685"/>
    <w:rsid w:val="00A85D3B"/>
    <w:rsid w:val="00A9019C"/>
    <w:rsid w:val="00AA2934"/>
    <w:rsid w:val="00AA4364"/>
    <w:rsid w:val="00AA4478"/>
    <w:rsid w:val="00B000B4"/>
    <w:rsid w:val="00B17926"/>
    <w:rsid w:val="00B234C2"/>
    <w:rsid w:val="00B23504"/>
    <w:rsid w:val="00B2753C"/>
    <w:rsid w:val="00B308D4"/>
    <w:rsid w:val="00BC7C6B"/>
    <w:rsid w:val="00C27E8B"/>
    <w:rsid w:val="00C43D0B"/>
    <w:rsid w:val="00C50DB0"/>
    <w:rsid w:val="00C70D9B"/>
    <w:rsid w:val="00C8587F"/>
    <w:rsid w:val="00C85C2C"/>
    <w:rsid w:val="00C85FD5"/>
    <w:rsid w:val="00C86B5F"/>
    <w:rsid w:val="00C87DFB"/>
    <w:rsid w:val="00C97545"/>
    <w:rsid w:val="00CC0395"/>
    <w:rsid w:val="00CE5F74"/>
    <w:rsid w:val="00CE7FDA"/>
    <w:rsid w:val="00CF69F5"/>
    <w:rsid w:val="00D26BEA"/>
    <w:rsid w:val="00D80060"/>
    <w:rsid w:val="00D81C91"/>
    <w:rsid w:val="00D86A99"/>
    <w:rsid w:val="00D955BB"/>
    <w:rsid w:val="00DB2287"/>
    <w:rsid w:val="00E1468E"/>
    <w:rsid w:val="00E23D98"/>
    <w:rsid w:val="00E3305E"/>
    <w:rsid w:val="00E41CE2"/>
    <w:rsid w:val="00E57DBD"/>
    <w:rsid w:val="00EA2C2E"/>
    <w:rsid w:val="00ED508B"/>
    <w:rsid w:val="00FA37AF"/>
    <w:rsid w:val="00FB3DA2"/>
    <w:rsid w:val="00FC47E9"/>
    <w:rsid w:val="00FE53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0E9D0F"/>
  <w15:docId w15:val="{E47203B4-3F3C-414A-8F78-A92D101EC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4784A"/>
    <w:pPr>
      <w:overflowPunct w:val="0"/>
      <w:autoSpaceDE w:val="0"/>
      <w:autoSpaceDN w:val="0"/>
      <w:adjustRightInd w:val="0"/>
      <w:textAlignment w:val="baseline"/>
    </w:pPr>
    <w:rPr>
      <w:rFonts w:ascii="Times New Roman" w:eastAsia="Times New Roman" w:hAnsi="Times New Roman" w:cs="Times New Roman"/>
      <w:sz w:val="20"/>
      <w:szCs w:val="20"/>
      <w:lang w:eastAsia="de-DE"/>
    </w:rPr>
  </w:style>
  <w:style w:type="paragraph" w:styleId="berschrift3">
    <w:name w:val="heading 3"/>
    <w:basedOn w:val="Standard"/>
    <w:next w:val="Standard"/>
    <w:link w:val="berschrift3Zchn"/>
    <w:qFormat/>
    <w:rsid w:val="008743E8"/>
    <w:pPr>
      <w:keepNext/>
      <w:overflowPunct/>
      <w:autoSpaceDE/>
      <w:autoSpaceDN/>
      <w:adjustRightInd/>
      <w:textAlignment w:val="auto"/>
      <w:outlineLvl w:val="2"/>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64784A"/>
    <w:pPr>
      <w:tabs>
        <w:tab w:val="center" w:pos="4536"/>
        <w:tab w:val="right" w:pos="9072"/>
      </w:tabs>
    </w:pPr>
  </w:style>
  <w:style w:type="character" w:customStyle="1" w:styleId="KopfzeileZchn">
    <w:name w:val="Kopfzeile Zchn"/>
    <w:basedOn w:val="Absatz-Standardschriftart"/>
    <w:link w:val="Kopfzeile"/>
    <w:uiPriority w:val="99"/>
    <w:rsid w:val="0064784A"/>
    <w:rPr>
      <w:rFonts w:ascii="Times New Roman" w:eastAsia="Times New Roman" w:hAnsi="Times New Roman" w:cs="Times New Roman"/>
      <w:sz w:val="20"/>
      <w:szCs w:val="20"/>
      <w:lang w:eastAsia="de-DE"/>
    </w:rPr>
  </w:style>
  <w:style w:type="paragraph" w:styleId="Fuzeile">
    <w:name w:val="footer"/>
    <w:basedOn w:val="Standard"/>
    <w:link w:val="FuzeileZchn"/>
    <w:rsid w:val="0064784A"/>
    <w:pPr>
      <w:tabs>
        <w:tab w:val="center" w:pos="4536"/>
        <w:tab w:val="right" w:pos="9072"/>
      </w:tabs>
    </w:pPr>
  </w:style>
  <w:style w:type="character" w:customStyle="1" w:styleId="FuzeileZchn">
    <w:name w:val="Fußzeile Zchn"/>
    <w:basedOn w:val="Absatz-Standardschriftart"/>
    <w:link w:val="Fuzeile"/>
    <w:rsid w:val="0064784A"/>
    <w:rPr>
      <w:rFonts w:ascii="Times New Roman" w:eastAsia="Times New Roman" w:hAnsi="Times New Roman" w:cs="Times New Roman"/>
      <w:sz w:val="20"/>
      <w:szCs w:val="20"/>
      <w:lang w:eastAsia="de-DE"/>
    </w:rPr>
  </w:style>
  <w:style w:type="character" w:styleId="Seitenzahl">
    <w:name w:val="page number"/>
    <w:basedOn w:val="Absatz-Standardschriftart"/>
    <w:rsid w:val="0064784A"/>
  </w:style>
  <w:style w:type="paragraph" w:customStyle="1" w:styleId="Bezug">
    <w:name w:val="Bezug"/>
    <w:basedOn w:val="Standard"/>
    <w:rsid w:val="0064784A"/>
    <w:pPr>
      <w:overflowPunct/>
      <w:autoSpaceDE/>
      <w:autoSpaceDN/>
      <w:adjustRightInd/>
      <w:jc w:val="both"/>
      <w:textAlignment w:val="auto"/>
    </w:pPr>
    <w:rPr>
      <w:rFonts w:ascii="Arial" w:hAnsi="Arial" w:cs="Arial"/>
      <w:sz w:val="24"/>
    </w:rPr>
  </w:style>
  <w:style w:type="paragraph" w:styleId="Sprechblasentext">
    <w:name w:val="Balloon Text"/>
    <w:basedOn w:val="Standard"/>
    <w:link w:val="SprechblasentextZchn"/>
    <w:uiPriority w:val="99"/>
    <w:semiHidden/>
    <w:unhideWhenUsed/>
    <w:rsid w:val="00E1468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1468E"/>
    <w:rPr>
      <w:rFonts w:ascii="Tahoma" w:eastAsia="Times New Roman" w:hAnsi="Tahoma" w:cs="Tahoma"/>
      <w:sz w:val="16"/>
      <w:szCs w:val="16"/>
      <w:lang w:eastAsia="de-DE"/>
    </w:rPr>
  </w:style>
  <w:style w:type="paragraph" w:customStyle="1" w:styleId="Text">
    <w:name w:val="Text"/>
    <w:basedOn w:val="Standard"/>
    <w:qFormat/>
    <w:rsid w:val="0096020B"/>
    <w:pPr>
      <w:spacing w:line="360" w:lineRule="exact"/>
      <w:jc w:val="both"/>
    </w:pPr>
    <w:rPr>
      <w:rFonts w:ascii="Arial" w:hAnsi="Arial" w:cs="Arial"/>
      <w:sz w:val="24"/>
      <w:szCs w:val="24"/>
    </w:rPr>
  </w:style>
  <w:style w:type="paragraph" w:customStyle="1" w:styleId="Verfgungen">
    <w:name w:val="Verfügungen"/>
    <w:basedOn w:val="Standard"/>
    <w:qFormat/>
    <w:rsid w:val="0096020B"/>
    <w:pPr>
      <w:ind w:left="-284"/>
      <w:jc w:val="both"/>
    </w:pPr>
    <w:rPr>
      <w:rFonts w:ascii="Arial" w:hAnsi="Arial" w:cs="Arial"/>
      <w:sz w:val="24"/>
      <w:szCs w:val="24"/>
    </w:rPr>
  </w:style>
  <w:style w:type="character" w:customStyle="1" w:styleId="berschrift3Zchn">
    <w:name w:val="Überschrift 3 Zchn"/>
    <w:basedOn w:val="Absatz-Standardschriftart"/>
    <w:link w:val="berschrift3"/>
    <w:rsid w:val="008743E8"/>
    <w:rPr>
      <w:rFonts w:ascii="Arial" w:eastAsia="Times New Roman" w:hAnsi="Arial" w:cs="Times New Roman"/>
      <w:b/>
      <w:sz w:val="24"/>
      <w:szCs w:val="20"/>
      <w:lang w:eastAsia="de-DE"/>
    </w:rPr>
  </w:style>
  <w:style w:type="paragraph" w:customStyle="1" w:styleId="Sperrfrist">
    <w:name w:val="Sperrfrist"/>
    <w:basedOn w:val="Standard"/>
    <w:rsid w:val="008743E8"/>
    <w:pPr>
      <w:tabs>
        <w:tab w:val="left" w:pos="7088"/>
      </w:tabs>
      <w:overflowPunct/>
      <w:autoSpaceDE/>
      <w:autoSpaceDN/>
      <w:adjustRightInd/>
      <w:textAlignment w:val="auto"/>
    </w:pPr>
    <w:rPr>
      <w:rFonts w:ascii="Arial" w:hAnsi="Arial"/>
      <w:b/>
      <w:sz w:val="24"/>
    </w:rPr>
  </w:style>
  <w:style w:type="character" w:styleId="Hyperlink">
    <w:name w:val="Hyperlink"/>
    <w:basedOn w:val="Absatz-Standardschriftart"/>
    <w:uiPriority w:val="99"/>
    <w:unhideWhenUsed/>
    <w:rsid w:val="005818FF"/>
    <w:rPr>
      <w:color w:val="0000FF" w:themeColor="hyperlink"/>
      <w:u w:val="single"/>
    </w:rPr>
  </w:style>
  <w:style w:type="paragraph" w:styleId="berarbeitung">
    <w:name w:val="Revision"/>
    <w:hidden/>
    <w:uiPriority w:val="99"/>
    <w:semiHidden/>
    <w:rsid w:val="00C85FD5"/>
    <w:rPr>
      <w:rFonts w:ascii="Times New Roman" w:eastAsia="Times New Roman" w:hAnsi="Times New Roman" w:cs="Times New Roman"/>
      <w:sz w:val="20"/>
      <w:szCs w:val="20"/>
      <w:lang w:eastAsia="de-DE"/>
    </w:rPr>
  </w:style>
  <w:style w:type="character" w:styleId="NichtaufgelsteErwhnung">
    <w:name w:val="Unresolved Mention"/>
    <w:basedOn w:val="Absatz-Standardschriftart"/>
    <w:uiPriority w:val="99"/>
    <w:semiHidden/>
    <w:unhideWhenUsed/>
    <w:rsid w:val="0016336E"/>
    <w:rPr>
      <w:color w:val="605E5C"/>
      <w:shd w:val="clear" w:color="auto" w:fill="E1DFDD"/>
    </w:rPr>
  </w:style>
  <w:style w:type="paragraph" w:styleId="Listenabsatz">
    <w:name w:val="List Paragraph"/>
    <w:basedOn w:val="Standard"/>
    <w:uiPriority w:val="34"/>
    <w:qFormat/>
    <w:rsid w:val="00315A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074901">
      <w:bodyDiv w:val="1"/>
      <w:marLeft w:val="0"/>
      <w:marRight w:val="0"/>
      <w:marTop w:val="0"/>
      <w:marBottom w:val="0"/>
      <w:divBdr>
        <w:top w:val="none" w:sz="0" w:space="0" w:color="auto"/>
        <w:left w:val="none" w:sz="0" w:space="0" w:color="auto"/>
        <w:bottom w:val="none" w:sz="0" w:space="0" w:color="auto"/>
        <w:right w:val="none" w:sz="0" w:space="0" w:color="auto"/>
      </w:divBdr>
    </w:div>
    <w:div w:id="211740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kroeling@nsgb.de"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medien@nlt.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ittkop@nst.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ttmann.NLT\AppData\Roaming\Microsoft\Templates\PM%20farbig%20A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PM farbig AG</Template>
  <TotalTime>0</TotalTime>
  <Pages>2</Pages>
  <Words>403</Words>
  <Characters>2543</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Lottmann, Ulrich</dc:creator>
  <cp:lastModifiedBy>Wittkop, Stefan</cp:lastModifiedBy>
  <cp:revision>8</cp:revision>
  <cp:lastPrinted>2025-05-28T06:26:00Z</cp:lastPrinted>
  <dcterms:created xsi:type="dcterms:W3CDTF">2026-05-26T09:07:00Z</dcterms:created>
  <dcterms:modified xsi:type="dcterms:W3CDTF">2026-09-04T08:58:00Z</dcterms:modified>
</cp:coreProperties>
</file>