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492" w:rsidRDefault="00331492" w:rsidP="00331492">
      <w:pPr>
        <w:jc w:val="both"/>
        <w:rPr>
          <w:b/>
          <w:noProof/>
          <w:sz w:val="36"/>
          <w:szCs w:val="44"/>
        </w:rPr>
      </w:pPr>
      <w:r w:rsidRPr="000B02FE">
        <w:rPr>
          <w:b/>
          <w:noProof/>
          <w:spacing w:val="30"/>
          <w:sz w:val="28"/>
          <w:lang w:eastAsia="de-DE"/>
        </w:rPr>
        <w:drawing>
          <wp:inline distT="0" distB="0" distL="0" distR="0" wp14:anchorId="29BD1D88" wp14:editId="5722C2BF">
            <wp:extent cx="401955" cy="460375"/>
            <wp:effectExtent l="0" t="0" r="0" b="0"/>
            <wp:docPr id="1" name="Bild 1" descr="Wappen_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en_farbi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460375"/>
                    </a:xfrm>
                    <a:prstGeom prst="rect">
                      <a:avLst/>
                    </a:prstGeom>
                    <a:noFill/>
                    <a:ln>
                      <a:noFill/>
                    </a:ln>
                  </pic:spPr>
                </pic:pic>
              </a:graphicData>
            </a:graphic>
          </wp:inline>
        </w:drawing>
      </w:r>
      <w:r>
        <w:rPr>
          <w:b/>
          <w:noProof/>
          <w:sz w:val="36"/>
          <w:szCs w:val="44"/>
        </w:rPr>
        <w:tab/>
      </w:r>
      <w:r>
        <w:rPr>
          <w:b/>
          <w:noProof/>
          <w:sz w:val="36"/>
          <w:szCs w:val="44"/>
        </w:rPr>
        <w:tab/>
      </w:r>
      <w:r>
        <w:rPr>
          <w:b/>
          <w:noProof/>
          <w:sz w:val="36"/>
          <w:szCs w:val="44"/>
        </w:rPr>
        <w:tab/>
      </w:r>
      <w:r>
        <w:rPr>
          <w:b/>
          <w:noProof/>
          <w:sz w:val="36"/>
          <w:szCs w:val="44"/>
        </w:rPr>
        <w:tab/>
      </w:r>
      <w:r>
        <w:rPr>
          <w:b/>
          <w:noProof/>
          <w:sz w:val="36"/>
          <w:szCs w:val="44"/>
        </w:rPr>
        <w:tab/>
      </w:r>
      <w:r>
        <w:rPr>
          <w:b/>
          <w:noProof/>
          <w:sz w:val="36"/>
          <w:szCs w:val="44"/>
        </w:rPr>
        <w:tab/>
      </w:r>
      <w:r>
        <w:rPr>
          <w:b/>
          <w:noProof/>
          <w:sz w:val="36"/>
          <w:szCs w:val="44"/>
        </w:rPr>
        <w:tab/>
      </w:r>
      <w:r>
        <w:rPr>
          <w:b/>
          <w:noProof/>
          <w:sz w:val="36"/>
          <w:szCs w:val="44"/>
        </w:rPr>
        <w:tab/>
      </w:r>
      <w:r>
        <w:rPr>
          <w:b/>
          <w:noProof/>
          <w:sz w:val="36"/>
          <w:szCs w:val="44"/>
        </w:rPr>
        <w:tab/>
      </w:r>
      <w:r w:rsidRPr="000B02FE">
        <w:rPr>
          <w:b/>
          <w:noProof/>
          <w:spacing w:val="30"/>
          <w:sz w:val="28"/>
          <w:lang w:eastAsia="de-DE"/>
        </w:rPr>
        <w:drawing>
          <wp:inline distT="0" distB="0" distL="0" distR="0" wp14:anchorId="6B95F925" wp14:editId="7383DF86">
            <wp:extent cx="401955" cy="460375"/>
            <wp:effectExtent l="0" t="0" r="0" b="0"/>
            <wp:docPr id="4" name="Bild 1" descr="Wappen_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en_farbi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460375"/>
                    </a:xfrm>
                    <a:prstGeom prst="rect">
                      <a:avLst/>
                    </a:prstGeom>
                    <a:noFill/>
                    <a:ln>
                      <a:noFill/>
                    </a:ln>
                  </pic:spPr>
                </pic:pic>
              </a:graphicData>
            </a:graphic>
          </wp:inline>
        </w:drawing>
      </w:r>
    </w:p>
    <w:p w:rsidR="00331492" w:rsidRPr="002145F6" w:rsidRDefault="00331492" w:rsidP="00331492">
      <w:pPr>
        <w:tabs>
          <w:tab w:val="left" w:pos="1701"/>
        </w:tabs>
        <w:spacing w:after="0"/>
        <w:rPr>
          <w:b/>
          <w:sz w:val="20"/>
          <w:szCs w:val="20"/>
        </w:rPr>
      </w:pPr>
      <w:r w:rsidRPr="002145F6">
        <w:rPr>
          <w:b/>
          <w:sz w:val="20"/>
          <w:szCs w:val="20"/>
        </w:rPr>
        <w:t>Niedersächsisches Ministerium</w:t>
      </w:r>
      <w:r w:rsidRPr="002145F6">
        <w:rPr>
          <w:b/>
          <w:sz w:val="20"/>
          <w:szCs w:val="20"/>
        </w:rPr>
        <w:tab/>
      </w:r>
      <w:r w:rsidRPr="002145F6">
        <w:rPr>
          <w:b/>
          <w:sz w:val="20"/>
          <w:szCs w:val="20"/>
        </w:rPr>
        <w:tab/>
      </w:r>
      <w:r w:rsidRPr="002145F6">
        <w:rPr>
          <w:b/>
          <w:sz w:val="20"/>
          <w:szCs w:val="20"/>
        </w:rPr>
        <w:tab/>
      </w:r>
      <w:r w:rsidRPr="002145F6">
        <w:rPr>
          <w:b/>
          <w:sz w:val="20"/>
          <w:szCs w:val="20"/>
        </w:rPr>
        <w:tab/>
      </w:r>
      <w:r w:rsidRPr="002145F6">
        <w:rPr>
          <w:b/>
          <w:sz w:val="20"/>
          <w:szCs w:val="20"/>
        </w:rPr>
        <w:tab/>
        <w:t xml:space="preserve">Niedersächsisches </w:t>
      </w:r>
    </w:p>
    <w:p w:rsidR="00331492" w:rsidRPr="002145F6" w:rsidRDefault="00331492" w:rsidP="00331492">
      <w:pPr>
        <w:tabs>
          <w:tab w:val="left" w:pos="6096"/>
        </w:tabs>
        <w:spacing w:after="0"/>
        <w:rPr>
          <w:b/>
          <w:sz w:val="20"/>
          <w:szCs w:val="20"/>
        </w:rPr>
      </w:pPr>
      <w:r w:rsidRPr="002145F6">
        <w:rPr>
          <w:noProof/>
          <w:sz w:val="20"/>
          <w:szCs w:val="20"/>
          <w:lang w:eastAsia="de-DE"/>
        </w:rPr>
        <mc:AlternateContent>
          <mc:Choice Requires="wps">
            <w:drawing>
              <wp:anchor distT="0" distB="0" distL="114300" distR="114300" simplePos="0" relativeHeight="251664384" behindDoc="0" locked="1" layoutInCell="1" allowOverlap="1" wp14:anchorId="252304DA" wp14:editId="4B7DEBB2">
                <wp:simplePos x="0" y="0"/>
                <wp:positionH relativeFrom="page">
                  <wp:posOffset>165735</wp:posOffset>
                </wp:positionH>
                <wp:positionV relativeFrom="page">
                  <wp:posOffset>7317740</wp:posOffset>
                </wp:positionV>
                <wp:extent cx="107950" cy="635"/>
                <wp:effectExtent l="0" t="0" r="0" b="0"/>
                <wp:wrapNone/>
                <wp:docPr id="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FA91919" id="Line 7"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3.05pt,576.2pt" to="21.55pt,57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" strokeweight=".5pt">
                <v:stroke startarrowwidth="narrow" startarrowlength="short" endarrowwidth="narrow" endarrowlength="short"/>
                <w10:wrap anchorx="page" anchory="page"/>
                <w10:anchorlock/>
              </v:line>
            </w:pict>
          </mc:Fallback>
        </mc:AlternateContent>
      </w:r>
      <w:r w:rsidRPr="002145F6">
        <w:rPr>
          <w:noProof/>
          <w:sz w:val="20"/>
          <w:szCs w:val="20"/>
          <w:lang w:eastAsia="de-DE"/>
        </w:rPr>
        <mc:AlternateContent>
          <mc:Choice Requires="wps">
            <w:drawing>
              <wp:anchor distT="0" distB="0" distL="114300" distR="114300" simplePos="0" relativeHeight="251663360" behindDoc="0" locked="1" layoutInCell="1" allowOverlap="1" wp14:anchorId="38C7F6F6" wp14:editId="6A5A1966">
                <wp:simplePos x="0" y="0"/>
                <wp:positionH relativeFrom="page">
                  <wp:posOffset>165735</wp:posOffset>
                </wp:positionH>
                <wp:positionV relativeFrom="page">
                  <wp:posOffset>5374640</wp:posOffset>
                </wp:positionV>
                <wp:extent cx="180340" cy="635"/>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34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679A4C7" id="Line 6"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3.05pt,423.2pt" to="27.25pt,4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" strokeweight=".5pt">
                <v:stroke startarrowwidth="narrow" startarrowlength="short" endarrowwidth="narrow" endarrowlength="short"/>
                <w10:wrap anchorx="page" anchory="page"/>
                <w10:anchorlock/>
              </v:line>
            </w:pict>
          </mc:Fallback>
        </mc:AlternateContent>
      </w:r>
      <w:r w:rsidRPr="002145F6">
        <w:rPr>
          <w:noProof/>
          <w:sz w:val="20"/>
          <w:szCs w:val="20"/>
          <w:lang w:eastAsia="de-DE"/>
        </w:rPr>
        <mc:AlternateContent>
          <mc:Choice Requires="wps">
            <w:drawing>
              <wp:anchor distT="0" distB="0" distL="114300" distR="114300" simplePos="0" relativeHeight="251662336" behindDoc="0" locked="1" layoutInCell="1" allowOverlap="1" wp14:anchorId="1D8D5CB0" wp14:editId="53297E5D">
                <wp:simplePos x="0" y="0"/>
                <wp:positionH relativeFrom="page">
                  <wp:posOffset>180340</wp:posOffset>
                </wp:positionH>
                <wp:positionV relativeFrom="page">
                  <wp:posOffset>3202305</wp:posOffset>
                </wp:positionV>
                <wp:extent cx="107950" cy="635"/>
                <wp:effectExtent l="0" t="0" r="0" b="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5695BB" id="Line 5"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2pt,252.15pt" to="22.7pt,25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" strokeweight=".5pt">
                <v:stroke startarrowwidth="narrow" startarrowlength="short" endarrowwidth="narrow" endarrowlength="short"/>
                <w10:wrap anchorx="page" anchory="page"/>
                <w10:anchorlock/>
              </v:line>
            </w:pict>
          </mc:Fallback>
        </mc:AlternateContent>
      </w:r>
      <w:r w:rsidRPr="002145F6">
        <w:rPr>
          <w:b/>
          <w:sz w:val="20"/>
          <w:szCs w:val="20"/>
        </w:rPr>
        <w:t>für Inneres und Sport</w:t>
      </w:r>
      <w:r w:rsidRPr="002145F6">
        <w:rPr>
          <w:b/>
          <w:sz w:val="20"/>
          <w:szCs w:val="20"/>
        </w:rPr>
        <w:tab/>
      </w:r>
      <w:r w:rsidRPr="002145F6">
        <w:rPr>
          <w:b/>
          <w:sz w:val="20"/>
          <w:szCs w:val="20"/>
        </w:rPr>
        <w:tab/>
        <w:t>Finanzministerium</w:t>
      </w:r>
    </w:p>
    <w:p w:rsidR="00331492" w:rsidRPr="009E4354" w:rsidRDefault="00331492" w:rsidP="00331492">
      <w:pPr>
        <w:tabs>
          <w:tab w:val="left" w:pos="6096"/>
        </w:tabs>
        <w:spacing w:after="0"/>
        <w:rPr>
          <w:b/>
          <w:noProof/>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331492" w:rsidTr="004436FD">
        <w:trPr>
          <w:trHeight w:val="1741"/>
        </w:trPr>
        <w:tc>
          <w:tcPr>
            <w:tcW w:w="3020" w:type="dxa"/>
          </w:tcPr>
          <w:p w:rsidR="00331492" w:rsidRDefault="00331492" w:rsidP="004436FD">
            <w:pPr>
              <w:jc w:val="both"/>
              <w:rPr>
                <w:sz w:val="24"/>
                <w:szCs w:val="24"/>
              </w:rPr>
            </w:pPr>
            <w:r w:rsidRPr="0064784A">
              <w:rPr>
                <w:b/>
                <w:noProof/>
                <w:sz w:val="36"/>
                <w:szCs w:val="44"/>
                <w:lang w:eastAsia="de-DE"/>
              </w:rPr>
              <w:drawing>
                <wp:anchor distT="0" distB="0" distL="114300" distR="114300" simplePos="0" relativeHeight="251659264" behindDoc="0" locked="0" layoutInCell="1" allowOverlap="1" wp14:anchorId="79E198FD" wp14:editId="5EB70EA1">
                  <wp:simplePos x="0" y="0"/>
                  <wp:positionH relativeFrom="margin">
                    <wp:posOffset>-51412</wp:posOffset>
                  </wp:positionH>
                  <wp:positionV relativeFrom="margin">
                    <wp:posOffset>361437</wp:posOffset>
                  </wp:positionV>
                  <wp:extent cx="1109980" cy="476250"/>
                  <wp:effectExtent l="0" t="0" r="0" b="0"/>
                  <wp:wrapSquare wrapText="bothSides"/>
                  <wp:docPr id="12" name="Grafik 12" descr="\\NLTVMFS01\f_Allgemein\NLT-Logos\Logo_NSGB_bunt_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LTVMFS01\f_Allgemein\NLT-Logos\Logo_NSGB_bunt_4c.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9980" cy="4762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021" w:type="dxa"/>
          </w:tcPr>
          <w:p w:rsidR="00331492" w:rsidRDefault="00331492" w:rsidP="004436FD">
            <w:pPr>
              <w:jc w:val="both"/>
              <w:rPr>
                <w:sz w:val="24"/>
                <w:szCs w:val="24"/>
              </w:rPr>
            </w:pPr>
          </w:p>
          <w:p w:rsidR="00331492" w:rsidRDefault="00331492" w:rsidP="004436FD">
            <w:pPr>
              <w:jc w:val="both"/>
              <w:rPr>
                <w:sz w:val="24"/>
                <w:szCs w:val="24"/>
              </w:rPr>
            </w:pPr>
            <w:r w:rsidRPr="0064784A">
              <w:rPr>
                <w:b/>
                <w:noProof/>
                <w:sz w:val="36"/>
                <w:szCs w:val="44"/>
                <w:lang w:eastAsia="de-DE"/>
              </w:rPr>
              <w:drawing>
                <wp:anchor distT="0" distB="0" distL="114300" distR="114300" simplePos="0" relativeHeight="251661312" behindDoc="0" locked="0" layoutInCell="1" allowOverlap="1" wp14:anchorId="2FB925E8" wp14:editId="6CF012F0">
                  <wp:simplePos x="0" y="0"/>
                  <wp:positionH relativeFrom="margin">
                    <wp:posOffset>401099</wp:posOffset>
                  </wp:positionH>
                  <wp:positionV relativeFrom="margin">
                    <wp:posOffset>267500</wp:posOffset>
                  </wp:positionV>
                  <wp:extent cx="607695" cy="933450"/>
                  <wp:effectExtent l="0" t="0" r="1905" b="0"/>
                  <wp:wrapSquare wrapText="bothSides"/>
                  <wp:docPr id="10" name="Grafik 10" descr="\\NLTVMFS01\f_Allgemein\NLT-Logos\Logo_NST_grau_mit_Schriftzug_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LTVMFS01\f_Allgemein\NLT-Logos\Logo_NST_grau_mit_Schriftzug_300.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7695" cy="9334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021" w:type="dxa"/>
          </w:tcPr>
          <w:p w:rsidR="00331492" w:rsidRDefault="00331492" w:rsidP="004436FD">
            <w:pPr>
              <w:jc w:val="both"/>
              <w:rPr>
                <w:sz w:val="24"/>
                <w:szCs w:val="24"/>
              </w:rPr>
            </w:pPr>
          </w:p>
          <w:p w:rsidR="00331492" w:rsidRDefault="00331492" w:rsidP="004436FD">
            <w:pPr>
              <w:jc w:val="both"/>
              <w:rPr>
                <w:sz w:val="24"/>
                <w:szCs w:val="24"/>
              </w:rPr>
            </w:pPr>
            <w:r w:rsidRPr="0064784A">
              <w:rPr>
                <w:b/>
                <w:noProof/>
                <w:sz w:val="36"/>
                <w:szCs w:val="44"/>
                <w:lang w:eastAsia="de-DE"/>
              </w:rPr>
              <w:drawing>
                <wp:anchor distT="0" distB="0" distL="114300" distR="114300" simplePos="0" relativeHeight="251660288" behindDoc="0" locked="0" layoutInCell="1" allowOverlap="1" wp14:anchorId="51138356" wp14:editId="74A267B6">
                  <wp:simplePos x="0" y="0"/>
                  <wp:positionH relativeFrom="margin">
                    <wp:posOffset>149997</wp:posOffset>
                  </wp:positionH>
                  <wp:positionV relativeFrom="topMargin">
                    <wp:posOffset>345567</wp:posOffset>
                  </wp:positionV>
                  <wp:extent cx="1314450" cy="508635"/>
                  <wp:effectExtent l="0" t="0" r="0" b="5715"/>
                  <wp:wrapSquare wrapText="bothSides"/>
                  <wp:docPr id="11" name="Grafik 11" descr="\\NLTVMFS01\f_Allgemein\NLT-Logos\NLT-Logo neu\NLT Logo rgb zugeschnit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LTVMFS01\f_Allgemein\NLT-Logos\NLT-Logo neu\NLT Logo rgb zugeschnitten.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14450" cy="50863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31492" w:rsidRDefault="00331492" w:rsidP="004436FD">
            <w:pPr>
              <w:jc w:val="both"/>
              <w:rPr>
                <w:sz w:val="24"/>
                <w:szCs w:val="24"/>
              </w:rPr>
            </w:pPr>
          </w:p>
        </w:tc>
      </w:tr>
    </w:tbl>
    <w:p w:rsidR="00331492" w:rsidRDefault="00331492" w:rsidP="00567F8E">
      <w:pPr>
        <w:spacing w:after="120" w:line="276" w:lineRule="auto"/>
        <w:jc w:val="both"/>
        <w:rPr>
          <w:rFonts w:eastAsia="Times New Roman"/>
          <w:b/>
          <w:sz w:val="24"/>
          <w:szCs w:val="24"/>
        </w:rPr>
      </w:pPr>
      <w:bookmarkStart w:id="0" w:name="_GoBack"/>
      <w:bookmarkEnd w:id="0"/>
    </w:p>
    <w:p w:rsidR="00331492" w:rsidRDefault="00331492" w:rsidP="00567F8E">
      <w:pPr>
        <w:spacing w:after="120" w:line="276" w:lineRule="auto"/>
        <w:jc w:val="both"/>
        <w:rPr>
          <w:rFonts w:eastAsia="Times New Roman"/>
          <w:b/>
          <w:sz w:val="24"/>
          <w:szCs w:val="24"/>
        </w:rPr>
      </w:pPr>
    </w:p>
    <w:p w:rsidR="00331492" w:rsidRDefault="00331492" w:rsidP="00567F8E">
      <w:pPr>
        <w:spacing w:after="120" w:line="276" w:lineRule="auto"/>
        <w:jc w:val="both"/>
        <w:rPr>
          <w:rFonts w:eastAsia="Times New Roman"/>
          <w:b/>
          <w:sz w:val="24"/>
          <w:szCs w:val="24"/>
        </w:rPr>
      </w:pPr>
    </w:p>
    <w:p w:rsidR="00331492" w:rsidRDefault="00331492" w:rsidP="00567F8E">
      <w:pPr>
        <w:spacing w:after="120" w:line="276" w:lineRule="auto"/>
        <w:jc w:val="both"/>
        <w:rPr>
          <w:rFonts w:eastAsia="Times New Roman"/>
          <w:b/>
          <w:sz w:val="24"/>
          <w:szCs w:val="24"/>
        </w:rPr>
      </w:pPr>
    </w:p>
    <w:p w:rsidR="00FA4F34" w:rsidRDefault="00FA4F34" w:rsidP="00567F8E">
      <w:pPr>
        <w:spacing w:after="120" w:line="276" w:lineRule="auto"/>
        <w:jc w:val="both"/>
        <w:rPr>
          <w:rFonts w:eastAsia="Times New Roman"/>
          <w:b/>
          <w:sz w:val="24"/>
          <w:szCs w:val="24"/>
        </w:rPr>
      </w:pPr>
      <w:r w:rsidRPr="00FA4F34">
        <w:rPr>
          <w:rFonts w:eastAsia="Times New Roman"/>
          <w:b/>
          <w:sz w:val="24"/>
          <w:szCs w:val="24"/>
        </w:rPr>
        <w:t>Grundsteuerreform in Niedersachsen</w:t>
      </w:r>
    </w:p>
    <w:p w:rsidR="001C251F" w:rsidRPr="001C251F" w:rsidRDefault="001C251F" w:rsidP="001C251F">
      <w:pPr>
        <w:spacing w:after="120" w:line="276" w:lineRule="auto"/>
        <w:jc w:val="both"/>
        <w:rPr>
          <w:rFonts w:eastAsia="Times New Roman"/>
          <w:b/>
          <w:sz w:val="24"/>
          <w:szCs w:val="24"/>
        </w:rPr>
      </w:pPr>
      <w:r w:rsidRPr="001C251F">
        <w:rPr>
          <w:rFonts w:eastAsia="Times New Roman"/>
          <w:b/>
          <w:sz w:val="24"/>
          <w:szCs w:val="24"/>
        </w:rPr>
        <w:t xml:space="preserve">– Was heißt das für die Steuerpflichtigen? – </w:t>
      </w:r>
    </w:p>
    <w:p w:rsidR="00FA4F34" w:rsidRDefault="00FA4F34" w:rsidP="00567F8E">
      <w:pPr>
        <w:spacing w:after="120" w:line="276" w:lineRule="auto"/>
        <w:jc w:val="both"/>
        <w:rPr>
          <w:rFonts w:eastAsia="Times New Roman"/>
          <w:sz w:val="24"/>
          <w:szCs w:val="24"/>
        </w:rPr>
      </w:pPr>
    </w:p>
    <w:p w:rsidR="00C54157" w:rsidRPr="002A48A3" w:rsidRDefault="00C54157" w:rsidP="00567F8E">
      <w:pPr>
        <w:spacing w:after="120" w:line="276" w:lineRule="auto"/>
        <w:jc w:val="both"/>
        <w:rPr>
          <w:rFonts w:eastAsia="Times New Roman"/>
          <w:sz w:val="24"/>
          <w:szCs w:val="24"/>
        </w:rPr>
      </w:pPr>
      <w:r w:rsidRPr="002A48A3">
        <w:rPr>
          <w:rFonts w:eastAsia="Times New Roman"/>
          <w:sz w:val="24"/>
          <w:szCs w:val="24"/>
        </w:rPr>
        <w:t>1. Was ist die Grundsteuer?</w:t>
      </w:r>
    </w:p>
    <w:p w:rsidR="000B0E21" w:rsidRPr="002A48A3" w:rsidRDefault="000B0E21" w:rsidP="00567F8E">
      <w:pPr>
        <w:spacing w:after="120" w:line="276" w:lineRule="auto"/>
        <w:jc w:val="both"/>
        <w:rPr>
          <w:rFonts w:eastAsia="Times New Roman"/>
          <w:sz w:val="24"/>
          <w:szCs w:val="24"/>
        </w:rPr>
      </w:pPr>
      <w:r w:rsidRPr="002A48A3">
        <w:rPr>
          <w:rFonts w:eastAsia="Times New Roman"/>
          <w:sz w:val="24"/>
          <w:szCs w:val="24"/>
        </w:rPr>
        <w:t>Die Grundsteuer wird auf den Grundbesitz erhoben. Hierzu gehören Grundstücke einschließlich der Gebäude sowie Betriebe der Land- und Forstwirtschaft. Gezahlt wird sie grundsätzlich von den Eigentümerinnen und Eigentümern</w:t>
      </w:r>
      <w:r w:rsidR="00907CE1" w:rsidRPr="002A48A3">
        <w:rPr>
          <w:rFonts w:eastAsia="Times New Roman"/>
          <w:sz w:val="24"/>
          <w:szCs w:val="24"/>
        </w:rPr>
        <w:t>.</w:t>
      </w:r>
      <w:r w:rsidR="00263B9D">
        <w:rPr>
          <w:rFonts w:eastAsia="Times New Roman"/>
          <w:sz w:val="24"/>
          <w:szCs w:val="24"/>
        </w:rPr>
        <w:t xml:space="preserve"> Bei Mietwohnungen wird sie in der Regel </w:t>
      </w:r>
      <w:r w:rsidR="000A2E08">
        <w:rPr>
          <w:rFonts w:eastAsia="Times New Roman"/>
          <w:sz w:val="24"/>
          <w:szCs w:val="24"/>
        </w:rPr>
        <w:t>über die Nebenkosten von den Mieterinnen und Mietern getragen.</w:t>
      </w:r>
    </w:p>
    <w:p w:rsidR="00567F8E" w:rsidRDefault="00567F8E" w:rsidP="00567F8E">
      <w:pPr>
        <w:spacing w:after="120" w:line="276" w:lineRule="auto"/>
        <w:jc w:val="both"/>
        <w:rPr>
          <w:rFonts w:eastAsia="Times New Roman"/>
          <w:sz w:val="24"/>
          <w:szCs w:val="24"/>
        </w:rPr>
      </w:pPr>
    </w:p>
    <w:p w:rsidR="00C54157" w:rsidRPr="002A48A3" w:rsidRDefault="00C54157" w:rsidP="00567F8E">
      <w:pPr>
        <w:spacing w:after="120" w:line="276" w:lineRule="auto"/>
        <w:jc w:val="both"/>
        <w:rPr>
          <w:rFonts w:eastAsia="Times New Roman"/>
          <w:sz w:val="24"/>
          <w:szCs w:val="24"/>
        </w:rPr>
      </w:pPr>
      <w:r w:rsidRPr="002A48A3">
        <w:rPr>
          <w:rFonts w:eastAsia="Times New Roman"/>
          <w:sz w:val="24"/>
          <w:szCs w:val="24"/>
        </w:rPr>
        <w:t xml:space="preserve">2. </w:t>
      </w:r>
      <w:r w:rsidR="001C251F">
        <w:rPr>
          <w:rFonts w:eastAsia="Times New Roman"/>
          <w:sz w:val="24"/>
          <w:szCs w:val="24"/>
        </w:rPr>
        <w:t>Was wird über die</w:t>
      </w:r>
      <w:r w:rsidRPr="002A48A3">
        <w:rPr>
          <w:rFonts w:eastAsia="Times New Roman"/>
          <w:sz w:val="24"/>
          <w:szCs w:val="24"/>
        </w:rPr>
        <w:t xml:space="preserve"> Grundsteuer</w:t>
      </w:r>
      <w:r w:rsidR="001C251F">
        <w:rPr>
          <w:rFonts w:eastAsia="Times New Roman"/>
          <w:sz w:val="24"/>
          <w:szCs w:val="24"/>
        </w:rPr>
        <w:t xml:space="preserve"> finanziert</w:t>
      </w:r>
      <w:r w:rsidRPr="002A48A3">
        <w:rPr>
          <w:rFonts w:eastAsia="Times New Roman"/>
          <w:sz w:val="24"/>
          <w:szCs w:val="24"/>
        </w:rPr>
        <w:t>?</w:t>
      </w:r>
    </w:p>
    <w:p w:rsidR="00907CE1" w:rsidRPr="002A48A3" w:rsidRDefault="000B0E21" w:rsidP="00567F8E">
      <w:pPr>
        <w:spacing w:after="120" w:line="276" w:lineRule="auto"/>
        <w:jc w:val="both"/>
        <w:rPr>
          <w:rFonts w:eastAsia="Times New Roman"/>
          <w:sz w:val="24"/>
          <w:szCs w:val="24"/>
        </w:rPr>
      </w:pPr>
      <w:r w:rsidRPr="002A48A3">
        <w:rPr>
          <w:rFonts w:eastAsia="Times New Roman"/>
          <w:sz w:val="24"/>
          <w:szCs w:val="24"/>
        </w:rPr>
        <w:t>Die</w:t>
      </w:r>
      <w:r w:rsidR="004C65AB" w:rsidRPr="002A48A3">
        <w:rPr>
          <w:rFonts w:eastAsia="Times New Roman"/>
          <w:sz w:val="24"/>
          <w:szCs w:val="24"/>
        </w:rPr>
        <w:t xml:space="preserve"> </w:t>
      </w:r>
      <w:r w:rsidRPr="002A48A3">
        <w:rPr>
          <w:rFonts w:eastAsia="Times New Roman"/>
          <w:sz w:val="24"/>
          <w:szCs w:val="24"/>
        </w:rPr>
        <w:t xml:space="preserve">durch die Grundsteuer erzielten Einnahmen fließen den Städten und Gemeinden zu. </w:t>
      </w:r>
      <w:r w:rsidR="00907CE1" w:rsidRPr="00567F8E">
        <w:rPr>
          <w:rFonts w:eastAsia="Times New Roman"/>
          <w:sz w:val="24"/>
          <w:szCs w:val="24"/>
        </w:rPr>
        <w:t>Als konjunkturunabhängige und verlässliche Einnahmequelle trägt die Grundsteuer wesentlich zur finanziellen Absicherung der Kommunen bei.</w:t>
      </w:r>
      <w:r w:rsidR="004C65AB" w:rsidRPr="00567F8E">
        <w:rPr>
          <w:rFonts w:eastAsia="Times New Roman"/>
          <w:sz w:val="24"/>
          <w:szCs w:val="24"/>
        </w:rPr>
        <w:t xml:space="preserve"> Die Grundsteuer hat für die kommunalen Haushalte eine </w:t>
      </w:r>
      <w:r w:rsidR="006804EF">
        <w:rPr>
          <w:rFonts w:eastAsia="Times New Roman"/>
          <w:sz w:val="24"/>
          <w:szCs w:val="24"/>
        </w:rPr>
        <w:t xml:space="preserve">große </w:t>
      </w:r>
      <w:r w:rsidR="004C65AB" w:rsidRPr="00567F8E">
        <w:rPr>
          <w:rFonts w:eastAsia="Times New Roman"/>
          <w:sz w:val="24"/>
          <w:szCs w:val="24"/>
        </w:rPr>
        <w:t>Bedeutung. Nach der Gewerbesteuer und dem Gemeindeanteil an der Einkommensteuer stellt die Grundsteuer die drittgrößte Einnahmequelle der Kommunen dar. Das weitgehend stabile Aufkommen der Grundsteuer betrug 20</w:t>
      </w:r>
      <w:r w:rsidR="002A2341">
        <w:rPr>
          <w:rFonts w:eastAsia="Times New Roman"/>
          <w:sz w:val="24"/>
          <w:szCs w:val="24"/>
        </w:rPr>
        <w:t>22</w:t>
      </w:r>
      <w:r w:rsidR="004C65AB" w:rsidRPr="00567F8E">
        <w:rPr>
          <w:rFonts w:eastAsia="Times New Roman"/>
          <w:sz w:val="24"/>
          <w:szCs w:val="24"/>
        </w:rPr>
        <w:t xml:space="preserve"> in Niedersachsen </w:t>
      </w:r>
      <w:r w:rsidR="00EC1DE4">
        <w:rPr>
          <w:rFonts w:eastAsia="Times New Roman"/>
          <w:sz w:val="24"/>
          <w:szCs w:val="24"/>
        </w:rPr>
        <w:t>fast</w:t>
      </w:r>
      <w:r w:rsidR="00EC1DE4" w:rsidRPr="00567F8E">
        <w:rPr>
          <w:rFonts w:eastAsia="Times New Roman"/>
          <w:sz w:val="24"/>
          <w:szCs w:val="24"/>
        </w:rPr>
        <w:t xml:space="preserve"> </w:t>
      </w:r>
      <w:r w:rsidR="004C65AB" w:rsidRPr="00567F8E">
        <w:rPr>
          <w:rFonts w:eastAsia="Times New Roman"/>
          <w:sz w:val="24"/>
          <w:szCs w:val="24"/>
        </w:rPr>
        <w:t>1,</w:t>
      </w:r>
      <w:r w:rsidR="00EC1DE4">
        <w:rPr>
          <w:rFonts w:eastAsia="Times New Roman"/>
          <w:sz w:val="24"/>
          <w:szCs w:val="24"/>
        </w:rPr>
        <w:t>6</w:t>
      </w:r>
      <w:r w:rsidR="00EC1DE4" w:rsidRPr="00567F8E">
        <w:rPr>
          <w:rFonts w:eastAsia="Times New Roman"/>
          <w:sz w:val="24"/>
          <w:szCs w:val="24"/>
        </w:rPr>
        <w:t xml:space="preserve"> </w:t>
      </w:r>
      <w:r w:rsidR="004C65AB" w:rsidRPr="00567F8E">
        <w:rPr>
          <w:rFonts w:eastAsia="Times New Roman"/>
          <w:sz w:val="24"/>
          <w:szCs w:val="24"/>
        </w:rPr>
        <w:t xml:space="preserve">Milliarden Euro. </w:t>
      </w:r>
      <w:r w:rsidR="00907CE1" w:rsidRPr="00567F8E">
        <w:rPr>
          <w:rFonts w:eastAsia="Times New Roman"/>
          <w:sz w:val="24"/>
          <w:szCs w:val="24"/>
        </w:rPr>
        <w:t xml:space="preserve"> </w:t>
      </w:r>
      <w:r w:rsidRPr="002A48A3">
        <w:rPr>
          <w:rFonts w:eastAsia="Times New Roman"/>
          <w:sz w:val="24"/>
          <w:szCs w:val="24"/>
        </w:rPr>
        <w:t xml:space="preserve">Diese Mittel benötigen die </w:t>
      </w:r>
      <w:r w:rsidR="001C251F">
        <w:rPr>
          <w:rFonts w:eastAsia="Times New Roman"/>
          <w:sz w:val="24"/>
          <w:szCs w:val="24"/>
        </w:rPr>
        <w:t xml:space="preserve">Städte und </w:t>
      </w:r>
      <w:r w:rsidRPr="002A48A3">
        <w:rPr>
          <w:rFonts w:eastAsia="Times New Roman"/>
          <w:sz w:val="24"/>
          <w:szCs w:val="24"/>
        </w:rPr>
        <w:t xml:space="preserve">Gemeinden, um damit </w:t>
      </w:r>
      <w:r w:rsidR="006804EF">
        <w:rPr>
          <w:rFonts w:eastAsia="Times New Roman"/>
          <w:sz w:val="24"/>
          <w:szCs w:val="24"/>
        </w:rPr>
        <w:t>z.</w:t>
      </w:r>
      <w:r w:rsidR="00482C4F">
        <w:rPr>
          <w:rFonts w:eastAsia="Times New Roman"/>
          <w:sz w:val="24"/>
          <w:szCs w:val="24"/>
        </w:rPr>
        <w:t xml:space="preserve"> </w:t>
      </w:r>
      <w:r w:rsidR="006804EF">
        <w:rPr>
          <w:rFonts w:eastAsia="Times New Roman"/>
          <w:sz w:val="24"/>
          <w:szCs w:val="24"/>
        </w:rPr>
        <w:t xml:space="preserve">B. </w:t>
      </w:r>
      <w:r w:rsidRPr="002A48A3">
        <w:rPr>
          <w:rFonts w:eastAsia="Times New Roman"/>
          <w:sz w:val="24"/>
          <w:szCs w:val="24"/>
        </w:rPr>
        <w:t>Schulen, Kitas, Schwimmbäder</w:t>
      </w:r>
      <w:r w:rsidR="00F77B98">
        <w:rPr>
          <w:rFonts w:eastAsia="Times New Roman"/>
          <w:sz w:val="24"/>
          <w:szCs w:val="24"/>
        </w:rPr>
        <w:t xml:space="preserve">, </w:t>
      </w:r>
      <w:r w:rsidRPr="002A48A3">
        <w:rPr>
          <w:rFonts w:eastAsia="Times New Roman"/>
          <w:sz w:val="24"/>
          <w:szCs w:val="24"/>
        </w:rPr>
        <w:t>Büchereien</w:t>
      </w:r>
      <w:r w:rsidR="00EC1DE4">
        <w:rPr>
          <w:rFonts w:eastAsia="Times New Roman"/>
          <w:sz w:val="24"/>
          <w:szCs w:val="24"/>
        </w:rPr>
        <w:t xml:space="preserve"> oder die Feuerwehr</w:t>
      </w:r>
      <w:r w:rsidR="001C251F">
        <w:rPr>
          <w:rFonts w:eastAsia="Times New Roman"/>
          <w:sz w:val="24"/>
          <w:szCs w:val="24"/>
        </w:rPr>
        <w:t xml:space="preserve"> </w:t>
      </w:r>
      <w:r w:rsidRPr="002A48A3">
        <w:rPr>
          <w:rFonts w:eastAsia="Times New Roman"/>
          <w:sz w:val="24"/>
          <w:szCs w:val="24"/>
        </w:rPr>
        <w:t>zu finanzieren und wichtige Investitionen in die örtliche Infrastruktur wie Straßen, Radwege oder Brücken vorzunehmen</w:t>
      </w:r>
      <w:r w:rsidR="00907CE1" w:rsidRPr="002A48A3">
        <w:rPr>
          <w:rFonts w:eastAsia="Times New Roman"/>
          <w:sz w:val="24"/>
          <w:szCs w:val="24"/>
        </w:rPr>
        <w:t>.</w:t>
      </w:r>
      <w:r w:rsidR="00CE3D77">
        <w:rPr>
          <w:rFonts w:eastAsia="Times New Roman"/>
          <w:sz w:val="24"/>
          <w:szCs w:val="24"/>
        </w:rPr>
        <w:t xml:space="preserve"> Allein für Kindertagesstätten haben die niedersächsischen Kommunen </w:t>
      </w:r>
      <w:r w:rsidR="00B80BB9">
        <w:rPr>
          <w:rFonts w:eastAsia="Times New Roman"/>
          <w:sz w:val="24"/>
          <w:szCs w:val="24"/>
        </w:rPr>
        <w:t xml:space="preserve">2021 </w:t>
      </w:r>
      <w:r w:rsidR="00EC1DE4">
        <w:rPr>
          <w:rFonts w:eastAsia="Times New Roman"/>
          <w:sz w:val="24"/>
          <w:szCs w:val="24"/>
        </w:rPr>
        <w:t>knapp</w:t>
      </w:r>
      <w:r w:rsidR="00B80BB9">
        <w:rPr>
          <w:rFonts w:eastAsia="Times New Roman"/>
          <w:sz w:val="24"/>
          <w:szCs w:val="24"/>
        </w:rPr>
        <w:t xml:space="preserve"> </w:t>
      </w:r>
      <w:r w:rsidR="00B80BB9" w:rsidRPr="00B80BB9">
        <w:rPr>
          <w:rFonts w:eastAsia="Times New Roman"/>
          <w:sz w:val="24"/>
          <w:szCs w:val="24"/>
        </w:rPr>
        <w:t>2</w:t>
      </w:r>
      <w:r w:rsidR="00EC1DE4">
        <w:rPr>
          <w:rFonts w:eastAsia="Times New Roman"/>
          <w:sz w:val="24"/>
          <w:szCs w:val="24"/>
        </w:rPr>
        <w:t>,2 Mrd.</w:t>
      </w:r>
      <w:r w:rsidR="00B80BB9">
        <w:rPr>
          <w:rFonts w:eastAsia="Times New Roman"/>
          <w:sz w:val="24"/>
          <w:szCs w:val="24"/>
        </w:rPr>
        <w:t xml:space="preserve"> Euro und für den Schulbereich </w:t>
      </w:r>
      <w:r w:rsidR="00EC1DE4">
        <w:rPr>
          <w:rFonts w:eastAsia="Times New Roman"/>
          <w:sz w:val="24"/>
          <w:szCs w:val="24"/>
        </w:rPr>
        <w:t xml:space="preserve">über </w:t>
      </w:r>
      <w:r w:rsidR="00B80BB9" w:rsidRPr="00B80BB9">
        <w:rPr>
          <w:rFonts w:eastAsia="Times New Roman"/>
          <w:sz w:val="24"/>
          <w:szCs w:val="24"/>
        </w:rPr>
        <w:t>2</w:t>
      </w:r>
      <w:r w:rsidR="00EC1DE4">
        <w:rPr>
          <w:rFonts w:eastAsia="Times New Roman"/>
          <w:sz w:val="24"/>
          <w:szCs w:val="24"/>
        </w:rPr>
        <w:t xml:space="preserve">,4 </w:t>
      </w:r>
      <w:r w:rsidR="009016D9">
        <w:rPr>
          <w:rFonts w:eastAsia="Times New Roman"/>
          <w:sz w:val="24"/>
          <w:szCs w:val="24"/>
        </w:rPr>
        <w:t>Mrd</w:t>
      </w:r>
      <w:r w:rsidR="00EC1DE4">
        <w:rPr>
          <w:rFonts w:eastAsia="Times New Roman"/>
          <w:sz w:val="24"/>
          <w:szCs w:val="24"/>
        </w:rPr>
        <w:t>.</w:t>
      </w:r>
      <w:r w:rsidR="00B80BB9">
        <w:rPr>
          <w:rFonts w:eastAsia="Times New Roman"/>
          <w:sz w:val="24"/>
          <w:szCs w:val="24"/>
        </w:rPr>
        <w:t xml:space="preserve"> Euro aus eigenen Mitteln aufgewandt.</w:t>
      </w:r>
      <w:r w:rsidR="00F77B98">
        <w:rPr>
          <w:rFonts w:eastAsia="Times New Roman"/>
          <w:sz w:val="24"/>
          <w:szCs w:val="24"/>
        </w:rPr>
        <w:t xml:space="preserve"> Die Ausgaben in den Bereichen der Infrastruktur und Dasein</w:t>
      </w:r>
      <w:r w:rsidR="001C251F">
        <w:rPr>
          <w:rFonts w:eastAsia="Times New Roman"/>
          <w:sz w:val="24"/>
          <w:szCs w:val="24"/>
        </w:rPr>
        <w:t>s</w:t>
      </w:r>
      <w:r w:rsidR="00F77B98">
        <w:rPr>
          <w:rFonts w:eastAsia="Times New Roman"/>
          <w:sz w:val="24"/>
          <w:szCs w:val="24"/>
        </w:rPr>
        <w:t xml:space="preserve">vorsorge überschreiten </w:t>
      </w:r>
      <w:r w:rsidR="00B80BB9">
        <w:rPr>
          <w:rFonts w:eastAsia="Times New Roman"/>
          <w:sz w:val="24"/>
          <w:szCs w:val="24"/>
        </w:rPr>
        <w:t xml:space="preserve">somit deutlich </w:t>
      </w:r>
      <w:r w:rsidR="00F77B98">
        <w:rPr>
          <w:rFonts w:eastAsia="Times New Roman"/>
          <w:sz w:val="24"/>
          <w:szCs w:val="24"/>
        </w:rPr>
        <w:t xml:space="preserve">die Einnahmen aus der Grundsteuer. </w:t>
      </w:r>
      <w:r w:rsidR="00B80BB9">
        <w:rPr>
          <w:rFonts w:eastAsia="Times New Roman"/>
          <w:sz w:val="24"/>
          <w:szCs w:val="24"/>
        </w:rPr>
        <w:t xml:space="preserve">Insoweit ist die Grundsteuer eine wichtige Säule zur Finanzierung der kommunalen Aufgaben. </w:t>
      </w:r>
    </w:p>
    <w:p w:rsidR="00567F8E" w:rsidRDefault="00567F8E" w:rsidP="00567F8E">
      <w:pPr>
        <w:spacing w:after="120" w:line="276" w:lineRule="auto"/>
        <w:jc w:val="both"/>
        <w:rPr>
          <w:rFonts w:eastAsia="Times New Roman"/>
          <w:sz w:val="24"/>
          <w:szCs w:val="24"/>
        </w:rPr>
      </w:pPr>
    </w:p>
    <w:p w:rsidR="002A48A3" w:rsidRPr="002A48A3" w:rsidRDefault="002A48A3" w:rsidP="00567F8E">
      <w:pPr>
        <w:spacing w:after="120" w:line="276" w:lineRule="auto"/>
        <w:jc w:val="both"/>
        <w:rPr>
          <w:rFonts w:eastAsia="Times New Roman"/>
          <w:sz w:val="24"/>
          <w:szCs w:val="24"/>
        </w:rPr>
      </w:pPr>
      <w:r w:rsidRPr="002A48A3">
        <w:rPr>
          <w:rFonts w:eastAsia="Times New Roman"/>
          <w:sz w:val="24"/>
          <w:szCs w:val="24"/>
        </w:rPr>
        <w:t>3. Warum musste die Grundsteuer reformiert werden?</w:t>
      </w:r>
    </w:p>
    <w:p w:rsidR="00487C9C" w:rsidRPr="002A48A3" w:rsidRDefault="00487C9C" w:rsidP="002A48A3">
      <w:pPr>
        <w:spacing w:line="276" w:lineRule="auto"/>
        <w:jc w:val="both"/>
        <w:rPr>
          <w:rFonts w:eastAsia="Times New Roman"/>
          <w:sz w:val="24"/>
          <w:szCs w:val="24"/>
        </w:rPr>
      </w:pPr>
      <w:r w:rsidRPr="002A48A3">
        <w:rPr>
          <w:rFonts w:eastAsia="Times New Roman"/>
          <w:sz w:val="24"/>
          <w:szCs w:val="24"/>
        </w:rPr>
        <w:t xml:space="preserve">Das Bundesverfassungsgericht erklärte 2018 die Grundsteuer in </w:t>
      </w:r>
      <w:r w:rsidR="00DC362C">
        <w:rPr>
          <w:rFonts w:eastAsia="Times New Roman"/>
          <w:sz w:val="24"/>
          <w:szCs w:val="24"/>
        </w:rPr>
        <w:t>ihr</w:t>
      </w:r>
      <w:r w:rsidRPr="002A48A3">
        <w:rPr>
          <w:rFonts w:eastAsia="Times New Roman"/>
          <w:sz w:val="24"/>
          <w:szCs w:val="24"/>
        </w:rPr>
        <w:t xml:space="preserve">er bisherigen Form für verfassungswidrig, weil sie gegen den </w:t>
      </w:r>
      <w:r w:rsidRPr="00F70214">
        <w:rPr>
          <w:rFonts w:eastAsia="Times New Roman"/>
          <w:sz w:val="24"/>
          <w:szCs w:val="24"/>
        </w:rPr>
        <w:t xml:space="preserve">Gleichheitssatz verstoße. </w:t>
      </w:r>
      <w:r w:rsidR="00731A90">
        <w:rPr>
          <w:sz w:val="24"/>
          <w:szCs w:val="24"/>
        </w:rPr>
        <w:t xml:space="preserve">Basis für die Erhebung der Grundsteuer war der </w:t>
      </w:r>
      <w:r w:rsidR="00B57795">
        <w:rPr>
          <w:sz w:val="24"/>
          <w:szCs w:val="24"/>
        </w:rPr>
        <w:t xml:space="preserve">Verkehrswert des Grundstücks. </w:t>
      </w:r>
      <w:r w:rsidR="000638D6" w:rsidRPr="002A48A3">
        <w:rPr>
          <w:sz w:val="24"/>
          <w:szCs w:val="24"/>
        </w:rPr>
        <w:t xml:space="preserve">Nachdem </w:t>
      </w:r>
      <w:r w:rsidR="00481FAB">
        <w:rPr>
          <w:sz w:val="24"/>
          <w:szCs w:val="24"/>
        </w:rPr>
        <w:t xml:space="preserve">über 50 </w:t>
      </w:r>
      <w:r w:rsidR="000638D6" w:rsidRPr="002A48A3">
        <w:rPr>
          <w:sz w:val="24"/>
          <w:szCs w:val="24"/>
        </w:rPr>
        <w:t xml:space="preserve">Jahre kein Verfahren zur Immobilienbewertung </w:t>
      </w:r>
      <w:r w:rsidR="00481FAB">
        <w:rPr>
          <w:sz w:val="24"/>
          <w:szCs w:val="24"/>
        </w:rPr>
        <w:t>statt</w:t>
      </w:r>
      <w:r w:rsidR="00CF6525">
        <w:rPr>
          <w:sz w:val="24"/>
          <w:szCs w:val="24"/>
        </w:rPr>
        <w:t>gefunden hat</w:t>
      </w:r>
      <w:r w:rsidR="000638D6" w:rsidRPr="002A48A3">
        <w:rPr>
          <w:sz w:val="24"/>
          <w:szCs w:val="24"/>
        </w:rPr>
        <w:t xml:space="preserve">, sich aber faktisch die Verhältnisse </w:t>
      </w:r>
      <w:r w:rsidR="00482C4F">
        <w:rPr>
          <w:sz w:val="24"/>
          <w:szCs w:val="24"/>
        </w:rPr>
        <w:t xml:space="preserve">deutlich </w:t>
      </w:r>
      <w:r w:rsidR="00B57795">
        <w:rPr>
          <w:sz w:val="24"/>
          <w:szCs w:val="24"/>
        </w:rPr>
        <w:t>geändert haben</w:t>
      </w:r>
      <w:r w:rsidR="00B57795" w:rsidRPr="002A48A3">
        <w:rPr>
          <w:sz w:val="24"/>
          <w:szCs w:val="24"/>
        </w:rPr>
        <w:t xml:space="preserve"> </w:t>
      </w:r>
      <w:r w:rsidR="000638D6" w:rsidRPr="002A48A3">
        <w:rPr>
          <w:sz w:val="24"/>
          <w:szCs w:val="24"/>
        </w:rPr>
        <w:t>(</w:t>
      </w:r>
      <w:r w:rsidR="00482C4F">
        <w:rPr>
          <w:sz w:val="24"/>
          <w:szCs w:val="24"/>
        </w:rPr>
        <w:t>wie etwa Verkehrsanbindungen oder der</w:t>
      </w:r>
      <w:r w:rsidR="000638D6" w:rsidRPr="002A48A3">
        <w:rPr>
          <w:sz w:val="24"/>
          <w:szCs w:val="24"/>
        </w:rPr>
        <w:t xml:space="preserve"> Stand der Technik z.B. in Bezug auf Fenster oder Isolierung) kommt es zu Wertverzerrungen, die </w:t>
      </w:r>
      <w:r w:rsidR="00030BE2">
        <w:rPr>
          <w:sz w:val="24"/>
          <w:szCs w:val="24"/>
        </w:rPr>
        <w:t xml:space="preserve">aus Sicht des Gerichts </w:t>
      </w:r>
      <w:r w:rsidR="000638D6" w:rsidRPr="002A48A3">
        <w:rPr>
          <w:sz w:val="24"/>
          <w:szCs w:val="24"/>
        </w:rPr>
        <w:t xml:space="preserve">nicht mehr </w:t>
      </w:r>
      <w:r w:rsidR="00481FAB" w:rsidRPr="002A48A3">
        <w:rPr>
          <w:sz w:val="24"/>
          <w:szCs w:val="24"/>
        </w:rPr>
        <w:t xml:space="preserve">mit dem Gleichheitssatz </w:t>
      </w:r>
      <w:r w:rsidR="000638D6" w:rsidRPr="002A48A3">
        <w:rPr>
          <w:sz w:val="24"/>
          <w:szCs w:val="24"/>
        </w:rPr>
        <w:t xml:space="preserve">vereinbar sind. </w:t>
      </w:r>
    </w:p>
    <w:p w:rsidR="002A0A06" w:rsidRPr="002A48A3" w:rsidRDefault="00030BE2" w:rsidP="002A48A3">
      <w:pPr>
        <w:spacing w:line="276" w:lineRule="auto"/>
        <w:jc w:val="both"/>
        <w:rPr>
          <w:rFonts w:eastAsia="Times New Roman"/>
          <w:sz w:val="24"/>
          <w:szCs w:val="24"/>
        </w:rPr>
      </w:pPr>
      <w:r>
        <w:rPr>
          <w:rFonts w:eastAsia="Times New Roman"/>
          <w:sz w:val="24"/>
          <w:szCs w:val="24"/>
        </w:rPr>
        <w:t>Deshalb</w:t>
      </w:r>
      <w:r w:rsidR="002A0A06" w:rsidRPr="002A48A3">
        <w:rPr>
          <w:rFonts w:eastAsia="Times New Roman"/>
          <w:sz w:val="24"/>
          <w:szCs w:val="24"/>
        </w:rPr>
        <w:t xml:space="preserve"> musste der Gesetzgeber die Grundsteuer reformieren, um das Aufkommen für die Kommunen zu sichern und die Neuregelungsfrist des Bundesverfassungsgerichts einzuhalten. Ab dem 01.01.2025 kann die Grundsteuer nur noch nach neuem Recht erhoben werden. Dafür hat der Bund ein komplexes Modell</w:t>
      </w:r>
      <w:r w:rsidR="007A0E88">
        <w:rPr>
          <w:rFonts w:eastAsia="Times New Roman"/>
          <w:sz w:val="24"/>
          <w:szCs w:val="24"/>
        </w:rPr>
        <w:t xml:space="preserve"> </w:t>
      </w:r>
      <w:r w:rsidR="002A0A06" w:rsidRPr="002A48A3">
        <w:rPr>
          <w:rFonts w:eastAsia="Times New Roman"/>
          <w:sz w:val="24"/>
          <w:szCs w:val="24"/>
        </w:rPr>
        <w:t>entwickelt, das dem alten Recht ähnlich ist</w:t>
      </w:r>
      <w:r w:rsidR="00CF6525">
        <w:rPr>
          <w:rFonts w:eastAsia="Times New Roman"/>
          <w:sz w:val="24"/>
          <w:szCs w:val="24"/>
        </w:rPr>
        <w:t>, also auch weiterhin auf den Verkehrswert abstellt</w:t>
      </w:r>
      <w:r w:rsidR="002A0A06" w:rsidRPr="002A48A3">
        <w:rPr>
          <w:rFonts w:eastAsia="Times New Roman"/>
          <w:sz w:val="24"/>
          <w:szCs w:val="24"/>
        </w:rPr>
        <w:t xml:space="preserve">. Er hat zugleich den Ländern </w:t>
      </w:r>
      <w:r w:rsidR="00731A90">
        <w:rPr>
          <w:rFonts w:eastAsia="Times New Roman"/>
          <w:sz w:val="24"/>
          <w:szCs w:val="24"/>
        </w:rPr>
        <w:t>aber</w:t>
      </w:r>
      <w:r w:rsidR="00731A90" w:rsidRPr="002A48A3">
        <w:rPr>
          <w:rFonts w:eastAsia="Times New Roman"/>
          <w:sz w:val="24"/>
          <w:szCs w:val="24"/>
        </w:rPr>
        <w:t xml:space="preserve"> </w:t>
      </w:r>
      <w:r w:rsidR="002A0A06" w:rsidRPr="002A48A3">
        <w:rPr>
          <w:rFonts w:eastAsia="Times New Roman"/>
          <w:sz w:val="24"/>
          <w:szCs w:val="24"/>
        </w:rPr>
        <w:t xml:space="preserve">die Möglichkeit eingeräumt, </w:t>
      </w:r>
      <w:r w:rsidR="00482C4F">
        <w:rPr>
          <w:rFonts w:eastAsia="Times New Roman"/>
          <w:sz w:val="24"/>
          <w:szCs w:val="24"/>
        </w:rPr>
        <w:t xml:space="preserve">ein </w:t>
      </w:r>
      <w:r w:rsidR="002A0A06" w:rsidRPr="002A48A3">
        <w:rPr>
          <w:rFonts w:eastAsia="Times New Roman"/>
          <w:sz w:val="24"/>
          <w:szCs w:val="24"/>
        </w:rPr>
        <w:t>eigenes Landesrecht für die Grundsteuer zu schaffen.</w:t>
      </w:r>
    </w:p>
    <w:p w:rsidR="002A0A06" w:rsidRDefault="002A0A06" w:rsidP="002A48A3">
      <w:pPr>
        <w:jc w:val="both"/>
        <w:rPr>
          <w:sz w:val="24"/>
          <w:szCs w:val="24"/>
        </w:rPr>
      </w:pPr>
      <w:r w:rsidRPr="002A48A3">
        <w:rPr>
          <w:sz w:val="24"/>
          <w:szCs w:val="24"/>
        </w:rPr>
        <w:t xml:space="preserve">Niedersachsen hat </w:t>
      </w:r>
      <w:r w:rsidR="00030BE2">
        <w:rPr>
          <w:sz w:val="24"/>
          <w:szCs w:val="24"/>
        </w:rPr>
        <w:t xml:space="preserve">davon Gebrauch gemacht und </w:t>
      </w:r>
      <w:r w:rsidRPr="002A48A3">
        <w:rPr>
          <w:sz w:val="24"/>
          <w:szCs w:val="24"/>
        </w:rPr>
        <w:t xml:space="preserve">sich für eine </w:t>
      </w:r>
      <w:r w:rsidR="006804EF">
        <w:rPr>
          <w:sz w:val="24"/>
          <w:szCs w:val="24"/>
        </w:rPr>
        <w:t>eigene</w:t>
      </w:r>
      <w:r w:rsidRPr="002A48A3">
        <w:rPr>
          <w:sz w:val="24"/>
          <w:szCs w:val="24"/>
        </w:rPr>
        <w:t xml:space="preserve"> Lösung entschieden</w:t>
      </w:r>
      <w:r w:rsidR="00030BE2">
        <w:rPr>
          <w:sz w:val="24"/>
          <w:szCs w:val="24"/>
        </w:rPr>
        <w:t xml:space="preserve">, die aus Sicht des Landes das Äquivalenzprinzip, also die Gleichwertigkeit von </w:t>
      </w:r>
      <w:r w:rsidR="00CF6525">
        <w:rPr>
          <w:sz w:val="24"/>
          <w:szCs w:val="24"/>
        </w:rPr>
        <w:t>kommunalen Daseinsvorsorgeangeboten</w:t>
      </w:r>
      <w:r w:rsidR="00030BE2">
        <w:rPr>
          <w:sz w:val="24"/>
          <w:szCs w:val="24"/>
        </w:rPr>
        <w:t xml:space="preserve"> und Gegenleistung</w:t>
      </w:r>
      <w:r w:rsidR="00CF6525">
        <w:rPr>
          <w:sz w:val="24"/>
          <w:szCs w:val="24"/>
        </w:rPr>
        <w:t xml:space="preserve"> in Form der Grundsteuer,</w:t>
      </w:r>
      <w:r w:rsidR="00030BE2">
        <w:rPr>
          <w:sz w:val="24"/>
          <w:szCs w:val="24"/>
        </w:rPr>
        <w:t xml:space="preserve"> wahrt</w:t>
      </w:r>
      <w:r w:rsidR="00CF6525">
        <w:rPr>
          <w:sz w:val="24"/>
          <w:szCs w:val="24"/>
        </w:rPr>
        <w:t xml:space="preserve"> und </w:t>
      </w:r>
      <w:r w:rsidR="0076422D">
        <w:rPr>
          <w:sz w:val="24"/>
          <w:szCs w:val="24"/>
        </w:rPr>
        <w:t>einfach und transparent</w:t>
      </w:r>
      <w:r w:rsidR="00CF6525">
        <w:rPr>
          <w:sz w:val="24"/>
          <w:szCs w:val="24"/>
        </w:rPr>
        <w:t xml:space="preserve"> ist</w:t>
      </w:r>
      <w:r w:rsidRPr="002A48A3">
        <w:rPr>
          <w:sz w:val="24"/>
          <w:szCs w:val="24"/>
        </w:rPr>
        <w:t>.</w:t>
      </w:r>
      <w:r w:rsidR="00090F93" w:rsidRPr="002A48A3">
        <w:rPr>
          <w:sz w:val="24"/>
          <w:szCs w:val="24"/>
        </w:rPr>
        <w:t xml:space="preserve"> </w:t>
      </w:r>
      <w:r w:rsidR="00DE1555" w:rsidRPr="00D54D32">
        <w:rPr>
          <w:sz w:val="24"/>
          <w:szCs w:val="24"/>
        </w:rPr>
        <w:t xml:space="preserve">Zur Ermittlung der </w:t>
      </w:r>
      <w:r w:rsidR="00090F93" w:rsidRPr="00D54D32">
        <w:rPr>
          <w:sz w:val="24"/>
          <w:szCs w:val="24"/>
        </w:rPr>
        <w:t xml:space="preserve">Steuerlastverteilung </w:t>
      </w:r>
      <w:r w:rsidR="00DE1555" w:rsidRPr="00D54D32">
        <w:rPr>
          <w:sz w:val="24"/>
          <w:szCs w:val="24"/>
        </w:rPr>
        <w:t xml:space="preserve">werden als Maßstab zuerst </w:t>
      </w:r>
      <w:r w:rsidR="00E129CC" w:rsidRPr="00D54D32">
        <w:rPr>
          <w:sz w:val="24"/>
          <w:szCs w:val="24"/>
        </w:rPr>
        <w:t>die Grundstücks- und Gebäudeflächengröße</w:t>
      </w:r>
      <w:r w:rsidR="00DE1555" w:rsidRPr="00D54D32">
        <w:rPr>
          <w:sz w:val="24"/>
          <w:szCs w:val="24"/>
        </w:rPr>
        <w:t>n</w:t>
      </w:r>
      <w:r w:rsidR="0076422D">
        <w:rPr>
          <w:sz w:val="24"/>
          <w:szCs w:val="24"/>
        </w:rPr>
        <w:t xml:space="preserve"> sowie deren Nutzung</w:t>
      </w:r>
      <w:r w:rsidR="00E129CC" w:rsidRPr="00D54D32">
        <w:rPr>
          <w:sz w:val="24"/>
          <w:szCs w:val="24"/>
        </w:rPr>
        <w:t xml:space="preserve"> herangezogen.</w:t>
      </w:r>
      <w:r w:rsidR="00DE1555" w:rsidRPr="00D54D32">
        <w:rPr>
          <w:sz w:val="24"/>
          <w:szCs w:val="24"/>
        </w:rPr>
        <w:t xml:space="preserve"> Auf diese wird der Lagefaktor </w:t>
      </w:r>
      <w:r w:rsidR="006612D3">
        <w:rPr>
          <w:sz w:val="24"/>
          <w:szCs w:val="24"/>
        </w:rPr>
        <w:t>angewendet</w:t>
      </w:r>
      <w:r w:rsidR="00DE1555" w:rsidRPr="00D54D32">
        <w:rPr>
          <w:sz w:val="24"/>
          <w:szCs w:val="24"/>
        </w:rPr>
        <w:t xml:space="preserve">, der </w:t>
      </w:r>
      <w:r w:rsidR="009850E9" w:rsidRPr="00D54D32">
        <w:rPr>
          <w:sz w:val="24"/>
          <w:szCs w:val="24"/>
        </w:rPr>
        <w:t>den</w:t>
      </w:r>
      <w:r w:rsidR="00DE1555" w:rsidRPr="00D54D32">
        <w:rPr>
          <w:sz w:val="24"/>
          <w:szCs w:val="24"/>
        </w:rPr>
        <w:t xml:space="preserve"> Bodenrichtwert des jeweiligen Grundstücks </w:t>
      </w:r>
      <w:r w:rsidR="00DC362C">
        <w:rPr>
          <w:sz w:val="24"/>
          <w:szCs w:val="24"/>
        </w:rPr>
        <w:t>und den</w:t>
      </w:r>
      <w:r w:rsidR="00DE1555" w:rsidRPr="00D54D32">
        <w:rPr>
          <w:sz w:val="24"/>
          <w:szCs w:val="24"/>
        </w:rPr>
        <w:t xml:space="preserve"> durchschnittlichen Bodenrichtwert der Gemeinde</w:t>
      </w:r>
      <w:r w:rsidR="0076422D">
        <w:rPr>
          <w:sz w:val="24"/>
          <w:szCs w:val="24"/>
        </w:rPr>
        <w:t xml:space="preserve"> </w:t>
      </w:r>
      <w:r w:rsidR="00DC362C">
        <w:rPr>
          <w:sz w:val="24"/>
          <w:szCs w:val="24"/>
        </w:rPr>
        <w:t>berücksichtigt</w:t>
      </w:r>
      <w:r w:rsidR="00DE1555" w:rsidRPr="00D54D32">
        <w:rPr>
          <w:sz w:val="24"/>
          <w:szCs w:val="24"/>
        </w:rPr>
        <w:t>.</w:t>
      </w:r>
      <w:r w:rsidR="009850E9" w:rsidRPr="00D54D32">
        <w:rPr>
          <w:sz w:val="24"/>
          <w:szCs w:val="24"/>
        </w:rPr>
        <w:t xml:space="preserve"> Je höher der Bodenrichtwert eines Grundstücks innerhalb einer Gemeinde bewertet ist, desto höher ist der Lage-Faktor.</w:t>
      </w:r>
      <w:r w:rsidR="00DE1555">
        <w:rPr>
          <w:sz w:val="24"/>
          <w:szCs w:val="24"/>
        </w:rPr>
        <w:t xml:space="preserve"> </w:t>
      </w:r>
      <w:r w:rsidRPr="002A48A3">
        <w:rPr>
          <w:sz w:val="24"/>
          <w:szCs w:val="24"/>
        </w:rPr>
        <w:t>Das Flächen-Lage-Modell ist leicht</w:t>
      </w:r>
      <w:r w:rsidR="006804EF">
        <w:rPr>
          <w:sz w:val="24"/>
          <w:szCs w:val="24"/>
        </w:rPr>
        <w:t>er</w:t>
      </w:r>
      <w:r w:rsidRPr="002A48A3">
        <w:rPr>
          <w:sz w:val="24"/>
          <w:szCs w:val="24"/>
        </w:rPr>
        <w:t xml:space="preserve"> umsetzbar </w:t>
      </w:r>
      <w:r w:rsidR="006804EF">
        <w:rPr>
          <w:sz w:val="24"/>
          <w:szCs w:val="24"/>
        </w:rPr>
        <w:t xml:space="preserve">als das Bundesmodell </w:t>
      </w:r>
      <w:r w:rsidRPr="002A48A3">
        <w:rPr>
          <w:sz w:val="24"/>
          <w:szCs w:val="24"/>
        </w:rPr>
        <w:t xml:space="preserve">und </w:t>
      </w:r>
      <w:r w:rsidR="00090F93" w:rsidRPr="002A48A3">
        <w:rPr>
          <w:sz w:val="24"/>
          <w:szCs w:val="24"/>
        </w:rPr>
        <w:t>enth</w:t>
      </w:r>
      <w:r w:rsidR="007A0E88">
        <w:rPr>
          <w:sz w:val="24"/>
          <w:szCs w:val="24"/>
        </w:rPr>
        <w:t>ält</w:t>
      </w:r>
      <w:r w:rsidRPr="002A48A3">
        <w:rPr>
          <w:sz w:val="24"/>
          <w:szCs w:val="24"/>
        </w:rPr>
        <w:t xml:space="preserve"> </w:t>
      </w:r>
      <w:r w:rsidR="006804EF">
        <w:rPr>
          <w:sz w:val="24"/>
          <w:szCs w:val="24"/>
        </w:rPr>
        <w:t xml:space="preserve">im Vergleich dazu </w:t>
      </w:r>
      <w:r w:rsidRPr="002A48A3">
        <w:rPr>
          <w:sz w:val="24"/>
          <w:szCs w:val="24"/>
        </w:rPr>
        <w:t xml:space="preserve">keine streitanfälligen </w:t>
      </w:r>
      <w:r w:rsidR="00090F93" w:rsidRPr="002A48A3">
        <w:rPr>
          <w:sz w:val="24"/>
          <w:szCs w:val="24"/>
        </w:rPr>
        <w:t>Bestimmungsgrößen</w:t>
      </w:r>
      <w:r w:rsidRPr="002A48A3">
        <w:rPr>
          <w:sz w:val="24"/>
          <w:szCs w:val="24"/>
        </w:rPr>
        <w:t xml:space="preserve">. </w:t>
      </w:r>
    </w:p>
    <w:p w:rsidR="00C54157" w:rsidRDefault="006612D3" w:rsidP="002A48A3">
      <w:pPr>
        <w:jc w:val="both"/>
        <w:rPr>
          <w:sz w:val="24"/>
          <w:szCs w:val="24"/>
        </w:rPr>
      </w:pPr>
      <w:r>
        <w:rPr>
          <w:sz w:val="24"/>
          <w:szCs w:val="24"/>
        </w:rPr>
        <w:t xml:space="preserve">Durch Multiplikation mit einer Steuermesszahl, die Steuerermäßigungen z.B. für Wohngrundstücke oder Denkmalschutz berücksichtigt, ergibt sich der </w:t>
      </w:r>
      <w:r w:rsidR="00B45ACE">
        <w:rPr>
          <w:sz w:val="24"/>
          <w:szCs w:val="24"/>
        </w:rPr>
        <w:t xml:space="preserve">Grundsteuermessbetrag </w:t>
      </w:r>
      <w:r>
        <w:rPr>
          <w:sz w:val="24"/>
          <w:szCs w:val="24"/>
        </w:rPr>
        <w:t xml:space="preserve">auf den </w:t>
      </w:r>
      <w:r w:rsidR="00B45ACE">
        <w:rPr>
          <w:sz w:val="24"/>
          <w:szCs w:val="24"/>
        </w:rPr>
        <w:t>dann der je nach Stadt bzw. Gemeinde individuelle Hebesatz angewendet</w:t>
      </w:r>
      <w:r w:rsidRPr="006612D3">
        <w:rPr>
          <w:sz w:val="24"/>
          <w:szCs w:val="24"/>
        </w:rPr>
        <w:t xml:space="preserve"> </w:t>
      </w:r>
      <w:r>
        <w:rPr>
          <w:sz w:val="24"/>
          <w:szCs w:val="24"/>
        </w:rPr>
        <w:t>wird</w:t>
      </w:r>
      <w:r w:rsidR="0076422D">
        <w:rPr>
          <w:sz w:val="24"/>
          <w:szCs w:val="24"/>
        </w:rPr>
        <w:t xml:space="preserve">. Dieser Hebesatz </w:t>
      </w:r>
      <w:r w:rsidR="00B45ACE">
        <w:rPr>
          <w:sz w:val="24"/>
          <w:szCs w:val="24"/>
        </w:rPr>
        <w:t xml:space="preserve">muss für </w:t>
      </w:r>
      <w:r w:rsidR="00B45ACE" w:rsidRPr="00EC1DE4">
        <w:rPr>
          <w:sz w:val="24"/>
          <w:szCs w:val="24"/>
        </w:rPr>
        <w:t>die jeweils in einer Gemeinde liegenden Betriebe der Land- und Forstwirtschaft und</w:t>
      </w:r>
      <w:r w:rsidR="00B45ACE">
        <w:rPr>
          <w:sz w:val="24"/>
          <w:szCs w:val="24"/>
        </w:rPr>
        <w:t xml:space="preserve"> für </w:t>
      </w:r>
      <w:r w:rsidR="00B45ACE" w:rsidRPr="00EC1DE4">
        <w:rPr>
          <w:sz w:val="24"/>
          <w:szCs w:val="24"/>
        </w:rPr>
        <w:t>die in einer Gemeinde liegenden übrigen bebauten und unbebauten Grundstücke</w:t>
      </w:r>
      <w:r w:rsidR="0076422D">
        <w:rPr>
          <w:sz w:val="24"/>
          <w:szCs w:val="24"/>
        </w:rPr>
        <w:t xml:space="preserve"> jeweils einheitlich sein</w:t>
      </w:r>
      <w:r w:rsidR="00B45ACE" w:rsidRPr="00EC1DE4">
        <w:rPr>
          <w:sz w:val="24"/>
          <w:szCs w:val="24"/>
        </w:rPr>
        <w:t>. Zudem kann die Stadt bzw. Gemeinde e</w:t>
      </w:r>
      <w:r w:rsidR="00B57795" w:rsidRPr="00B57795">
        <w:rPr>
          <w:sz w:val="24"/>
          <w:szCs w:val="24"/>
        </w:rPr>
        <w:t xml:space="preserve">inen Hebesatz für die </w:t>
      </w:r>
      <w:r w:rsidR="00B45ACE" w:rsidRPr="00EC1DE4">
        <w:rPr>
          <w:sz w:val="24"/>
          <w:szCs w:val="24"/>
        </w:rPr>
        <w:t>baureife</w:t>
      </w:r>
      <w:r w:rsidR="00EC1DE4">
        <w:rPr>
          <w:sz w:val="24"/>
          <w:szCs w:val="24"/>
        </w:rPr>
        <w:t>n</w:t>
      </w:r>
      <w:r w:rsidR="00B45ACE" w:rsidRPr="00EC1DE4">
        <w:rPr>
          <w:sz w:val="24"/>
          <w:szCs w:val="24"/>
        </w:rPr>
        <w:t xml:space="preserve"> Grundstücke festlegen.</w:t>
      </w:r>
    </w:p>
    <w:p w:rsidR="00EC1DE4" w:rsidRPr="002A48A3" w:rsidRDefault="00EC1DE4" w:rsidP="002A48A3">
      <w:pPr>
        <w:jc w:val="both"/>
        <w:rPr>
          <w:sz w:val="24"/>
          <w:szCs w:val="24"/>
        </w:rPr>
      </w:pPr>
    </w:p>
    <w:p w:rsidR="00567F8E" w:rsidRPr="002A48A3" w:rsidRDefault="00567F8E" w:rsidP="00567F8E">
      <w:pPr>
        <w:jc w:val="both"/>
        <w:rPr>
          <w:sz w:val="24"/>
          <w:szCs w:val="24"/>
        </w:rPr>
      </w:pPr>
      <w:r>
        <w:rPr>
          <w:sz w:val="24"/>
          <w:szCs w:val="24"/>
        </w:rPr>
        <w:t>4</w:t>
      </w:r>
      <w:r w:rsidRPr="002A48A3">
        <w:rPr>
          <w:sz w:val="24"/>
          <w:szCs w:val="24"/>
        </w:rPr>
        <w:t xml:space="preserve">. </w:t>
      </w:r>
      <w:r w:rsidR="00263C2A">
        <w:rPr>
          <w:sz w:val="24"/>
          <w:szCs w:val="24"/>
        </w:rPr>
        <w:t xml:space="preserve"> Was heißt das für die Höhe meiner Grundsteuer?</w:t>
      </w:r>
    </w:p>
    <w:p w:rsidR="00670273" w:rsidRDefault="006B265F" w:rsidP="002A48A3">
      <w:pPr>
        <w:jc w:val="both"/>
        <w:rPr>
          <w:sz w:val="24"/>
          <w:szCs w:val="24"/>
        </w:rPr>
      </w:pPr>
      <w:r>
        <w:rPr>
          <w:sz w:val="24"/>
          <w:szCs w:val="24"/>
        </w:rPr>
        <w:t xml:space="preserve">Bund, Länder und Kommunen sind sich einig, dass sich allein aus der Umstellung der Steuer auf ein neues Verfahren insgesamt kein höheres Steueraufkommen, also keine Steuererhöhung </w:t>
      </w:r>
      <w:r w:rsidR="00670273">
        <w:rPr>
          <w:sz w:val="24"/>
          <w:szCs w:val="24"/>
        </w:rPr>
        <w:t>insgesamt</w:t>
      </w:r>
      <w:r w:rsidR="00DC362C">
        <w:rPr>
          <w:sz w:val="24"/>
          <w:szCs w:val="24"/>
        </w:rPr>
        <w:t>,</w:t>
      </w:r>
      <w:r w:rsidR="00670273">
        <w:rPr>
          <w:sz w:val="24"/>
          <w:szCs w:val="24"/>
        </w:rPr>
        <w:t xml:space="preserve"> </w:t>
      </w:r>
      <w:r>
        <w:rPr>
          <w:sz w:val="24"/>
          <w:szCs w:val="24"/>
        </w:rPr>
        <w:t xml:space="preserve">ergeben soll. Daran werden sich die Städte und </w:t>
      </w:r>
      <w:r>
        <w:rPr>
          <w:sz w:val="24"/>
          <w:szCs w:val="24"/>
        </w:rPr>
        <w:lastRenderedPageBreak/>
        <w:t xml:space="preserve">Gemeinden halten. </w:t>
      </w:r>
      <w:r w:rsidR="00F8024D">
        <w:rPr>
          <w:sz w:val="24"/>
          <w:szCs w:val="24"/>
        </w:rPr>
        <w:t xml:space="preserve">Um für die notwendige Transparenz zu sorgen, verpflichtet der niedersächsische Gesetzgeber jede Kommune dazu, einen aufkommensneutralen Hebesatz auszuweisen. </w:t>
      </w:r>
      <w:r>
        <w:rPr>
          <w:sz w:val="24"/>
          <w:szCs w:val="24"/>
        </w:rPr>
        <w:t xml:space="preserve">Wie in jedem anderen Jahr aber auch kann die individuelle Haushaltssituation einer </w:t>
      </w:r>
      <w:r w:rsidR="00F8024D">
        <w:rPr>
          <w:sz w:val="24"/>
          <w:szCs w:val="24"/>
        </w:rPr>
        <w:t>Stadt oder einer Gemeinde</w:t>
      </w:r>
      <w:r>
        <w:rPr>
          <w:sz w:val="24"/>
          <w:szCs w:val="24"/>
        </w:rPr>
        <w:t xml:space="preserve"> </w:t>
      </w:r>
      <w:r w:rsidR="00F8024D">
        <w:rPr>
          <w:sz w:val="24"/>
          <w:szCs w:val="24"/>
        </w:rPr>
        <w:t xml:space="preserve">unabhängig von der Verfahrensumstellung durchaus </w:t>
      </w:r>
      <w:r>
        <w:rPr>
          <w:sz w:val="24"/>
          <w:szCs w:val="24"/>
        </w:rPr>
        <w:t xml:space="preserve">eine Anhebung der Hebesätze erfordern. </w:t>
      </w:r>
      <w:r w:rsidR="00F8024D">
        <w:rPr>
          <w:sz w:val="24"/>
          <w:szCs w:val="24"/>
        </w:rPr>
        <w:t>Dies ist auch zulässig</w:t>
      </w:r>
      <w:r w:rsidR="00CE3D77">
        <w:rPr>
          <w:sz w:val="24"/>
          <w:szCs w:val="24"/>
        </w:rPr>
        <w:t xml:space="preserve"> und im niedersächsischen Landesrecht klargestellt</w:t>
      </w:r>
      <w:r w:rsidR="00F8024D">
        <w:rPr>
          <w:sz w:val="24"/>
          <w:szCs w:val="24"/>
        </w:rPr>
        <w:t>.</w:t>
      </w:r>
    </w:p>
    <w:p w:rsidR="00567F8E" w:rsidRDefault="00F8024D" w:rsidP="002A48A3">
      <w:pPr>
        <w:jc w:val="both"/>
        <w:rPr>
          <w:sz w:val="24"/>
          <w:szCs w:val="24"/>
        </w:rPr>
      </w:pPr>
      <w:r>
        <w:rPr>
          <w:sz w:val="24"/>
          <w:szCs w:val="24"/>
        </w:rPr>
        <w:t>In jedem Fall</w:t>
      </w:r>
      <w:r w:rsidR="00263C2A">
        <w:rPr>
          <w:sz w:val="24"/>
          <w:szCs w:val="24"/>
        </w:rPr>
        <w:t xml:space="preserve"> ist aber klar, dass mit der Grundsteuerreform keine Belastungsneutralität für die</w:t>
      </w:r>
      <w:r w:rsidR="00A13DAF" w:rsidRPr="00A13DAF">
        <w:rPr>
          <w:sz w:val="24"/>
          <w:szCs w:val="24"/>
        </w:rPr>
        <w:t xml:space="preserve"> </w:t>
      </w:r>
      <w:r w:rsidR="00A13DAF">
        <w:rPr>
          <w:sz w:val="24"/>
          <w:szCs w:val="24"/>
        </w:rPr>
        <w:t>einzelnen</w:t>
      </w:r>
      <w:r w:rsidR="00933D1B">
        <w:rPr>
          <w:sz w:val="24"/>
          <w:szCs w:val="24"/>
        </w:rPr>
        <w:t xml:space="preserve"> Bürger</w:t>
      </w:r>
      <w:r w:rsidR="00263C2A">
        <w:rPr>
          <w:sz w:val="24"/>
          <w:szCs w:val="24"/>
        </w:rPr>
        <w:t xml:space="preserve">innen </w:t>
      </w:r>
      <w:r w:rsidR="00933D1B">
        <w:rPr>
          <w:sz w:val="24"/>
          <w:szCs w:val="24"/>
        </w:rPr>
        <w:t xml:space="preserve">und Bürger </w:t>
      </w:r>
      <w:r w:rsidR="00263C2A">
        <w:rPr>
          <w:sz w:val="24"/>
          <w:szCs w:val="24"/>
        </w:rPr>
        <w:t xml:space="preserve">einhergehen kann, in dem Sinne, dass </w:t>
      </w:r>
      <w:r w:rsidR="00EC1DE4">
        <w:rPr>
          <w:sz w:val="24"/>
          <w:szCs w:val="24"/>
        </w:rPr>
        <w:t>so viel gezahlt wird wie bisher. D</w:t>
      </w:r>
      <w:r w:rsidR="00263C2A">
        <w:rPr>
          <w:sz w:val="24"/>
          <w:szCs w:val="24"/>
        </w:rPr>
        <w:t xml:space="preserve">enn das alte System mit den daraus resultierenden jeweiligen Beträgen wurde ja gerade </w:t>
      </w:r>
      <w:r w:rsidR="00B57795">
        <w:rPr>
          <w:sz w:val="24"/>
          <w:szCs w:val="24"/>
        </w:rPr>
        <w:t xml:space="preserve">vom BVerfG </w:t>
      </w:r>
      <w:r w:rsidR="00263C2A">
        <w:rPr>
          <w:sz w:val="24"/>
          <w:szCs w:val="24"/>
        </w:rPr>
        <w:t xml:space="preserve">als verfassungswidrig angesehen. Die Höhe der Steuer, die individuell gezahlt wird, wird sich demnach in den meisten </w:t>
      </w:r>
      <w:r w:rsidR="00933D1B">
        <w:rPr>
          <w:sz w:val="24"/>
          <w:szCs w:val="24"/>
        </w:rPr>
        <w:t>Fällen verändern. Einige Bürger</w:t>
      </w:r>
      <w:r w:rsidR="00263C2A">
        <w:rPr>
          <w:sz w:val="24"/>
          <w:szCs w:val="24"/>
        </w:rPr>
        <w:t>innen</w:t>
      </w:r>
      <w:r w:rsidR="00933D1B">
        <w:rPr>
          <w:sz w:val="24"/>
          <w:szCs w:val="24"/>
        </w:rPr>
        <w:t xml:space="preserve"> und Bürger</w:t>
      </w:r>
      <w:r w:rsidR="00263C2A">
        <w:rPr>
          <w:sz w:val="24"/>
          <w:szCs w:val="24"/>
        </w:rPr>
        <w:t xml:space="preserve"> werden mehr bezahlen und andere weniger als vorher.</w:t>
      </w:r>
      <w:r w:rsidR="008C2CDA">
        <w:rPr>
          <w:sz w:val="24"/>
          <w:szCs w:val="24"/>
        </w:rPr>
        <w:t xml:space="preserve"> Die durch die Grundsteuerreform festgestellten neuen Werte sind nicht mit den bisherigen Einheitswerten vergleichbar, da die neuen Beträge nach einem wertunabhängigen Verfahren ermittelt wurden und </w:t>
      </w:r>
      <w:r w:rsidR="00DC362C">
        <w:rPr>
          <w:sz w:val="24"/>
          <w:szCs w:val="24"/>
        </w:rPr>
        <w:t xml:space="preserve">anders als zuvor </w:t>
      </w:r>
      <w:r w:rsidR="008C2CDA">
        <w:rPr>
          <w:sz w:val="24"/>
          <w:szCs w:val="24"/>
        </w:rPr>
        <w:t>keinen Verkehrswert oder vergleichbaren Wert darstellen.</w:t>
      </w:r>
    </w:p>
    <w:p w:rsidR="00911FDA" w:rsidRDefault="00F8024D" w:rsidP="002A48A3">
      <w:pPr>
        <w:jc w:val="both"/>
        <w:rPr>
          <w:sz w:val="24"/>
          <w:szCs w:val="24"/>
        </w:rPr>
      </w:pPr>
      <w:r>
        <w:rPr>
          <w:sz w:val="24"/>
          <w:szCs w:val="24"/>
        </w:rPr>
        <w:t>M</w:t>
      </w:r>
      <w:r w:rsidR="000638D6" w:rsidRPr="002A48A3">
        <w:rPr>
          <w:sz w:val="24"/>
          <w:szCs w:val="24"/>
        </w:rPr>
        <w:t>it der Veröffentlichung der</w:t>
      </w:r>
      <w:r w:rsidR="00EC1DE4">
        <w:rPr>
          <w:sz w:val="24"/>
          <w:szCs w:val="24"/>
        </w:rPr>
        <w:t xml:space="preserve"> aufkommensneutralen und der</w:t>
      </w:r>
      <w:r w:rsidR="000638D6" w:rsidRPr="002A48A3">
        <w:rPr>
          <w:sz w:val="24"/>
          <w:szCs w:val="24"/>
        </w:rPr>
        <w:t xml:space="preserve"> </w:t>
      </w:r>
      <w:r>
        <w:rPr>
          <w:sz w:val="24"/>
          <w:szCs w:val="24"/>
        </w:rPr>
        <w:t xml:space="preserve">neuen </w:t>
      </w:r>
      <w:r w:rsidR="000638D6" w:rsidRPr="002A48A3">
        <w:rPr>
          <w:sz w:val="24"/>
          <w:szCs w:val="24"/>
        </w:rPr>
        <w:t xml:space="preserve">Hebesätze der Kommunen </w:t>
      </w:r>
      <w:r>
        <w:rPr>
          <w:sz w:val="24"/>
          <w:szCs w:val="24"/>
        </w:rPr>
        <w:t xml:space="preserve">wird Ende </w:t>
      </w:r>
      <w:r w:rsidR="000638D6" w:rsidRPr="002A48A3">
        <w:rPr>
          <w:sz w:val="24"/>
          <w:szCs w:val="24"/>
        </w:rPr>
        <w:t xml:space="preserve">2024 gerechnet. </w:t>
      </w:r>
      <w:r w:rsidR="00911FDA" w:rsidRPr="002A48A3">
        <w:rPr>
          <w:sz w:val="24"/>
          <w:szCs w:val="24"/>
        </w:rPr>
        <w:t>Ein aussagekräftiger Vergleich de</w:t>
      </w:r>
      <w:r>
        <w:rPr>
          <w:sz w:val="24"/>
          <w:szCs w:val="24"/>
        </w:rPr>
        <w:t>r</w:t>
      </w:r>
      <w:r w:rsidR="00911FDA" w:rsidRPr="002A48A3">
        <w:rPr>
          <w:sz w:val="24"/>
          <w:szCs w:val="24"/>
        </w:rPr>
        <w:t xml:space="preserve"> alten </w:t>
      </w:r>
      <w:r w:rsidR="007A0E88" w:rsidRPr="002A48A3">
        <w:rPr>
          <w:sz w:val="24"/>
          <w:szCs w:val="24"/>
        </w:rPr>
        <w:t>mit de</w:t>
      </w:r>
      <w:r w:rsidR="00DC362C">
        <w:rPr>
          <w:sz w:val="24"/>
          <w:szCs w:val="24"/>
        </w:rPr>
        <w:t>r</w:t>
      </w:r>
      <w:r w:rsidR="007A0E88">
        <w:rPr>
          <w:sz w:val="24"/>
          <w:szCs w:val="24"/>
        </w:rPr>
        <w:t xml:space="preserve"> </w:t>
      </w:r>
      <w:r w:rsidR="007A0E88" w:rsidRPr="002A48A3">
        <w:rPr>
          <w:sz w:val="24"/>
          <w:szCs w:val="24"/>
        </w:rPr>
        <w:t xml:space="preserve">neuen </w:t>
      </w:r>
      <w:r>
        <w:rPr>
          <w:sz w:val="24"/>
          <w:szCs w:val="24"/>
        </w:rPr>
        <w:t>individuellen</w:t>
      </w:r>
      <w:r w:rsidR="00911FDA" w:rsidRPr="002A48A3">
        <w:rPr>
          <w:sz w:val="24"/>
          <w:szCs w:val="24"/>
        </w:rPr>
        <w:t xml:space="preserve"> </w:t>
      </w:r>
      <w:r>
        <w:rPr>
          <w:sz w:val="24"/>
          <w:szCs w:val="24"/>
        </w:rPr>
        <w:t xml:space="preserve">Belastung </w:t>
      </w:r>
      <w:r w:rsidR="00911FDA" w:rsidRPr="002A48A3">
        <w:rPr>
          <w:sz w:val="24"/>
          <w:szCs w:val="24"/>
        </w:rPr>
        <w:t xml:space="preserve">ist </w:t>
      </w:r>
      <w:r w:rsidR="006804EF">
        <w:rPr>
          <w:sz w:val="24"/>
          <w:szCs w:val="24"/>
        </w:rPr>
        <w:t xml:space="preserve">somit </w:t>
      </w:r>
      <w:r w:rsidR="00911FDA" w:rsidRPr="002A48A3">
        <w:rPr>
          <w:sz w:val="24"/>
          <w:szCs w:val="24"/>
        </w:rPr>
        <w:t>er</w:t>
      </w:r>
      <w:r w:rsidR="007A0E88">
        <w:rPr>
          <w:sz w:val="24"/>
          <w:szCs w:val="24"/>
        </w:rPr>
        <w:t>st</w:t>
      </w:r>
      <w:r w:rsidR="00911FDA" w:rsidRPr="002A48A3">
        <w:rPr>
          <w:sz w:val="24"/>
          <w:szCs w:val="24"/>
        </w:rPr>
        <w:t xml:space="preserve"> Anfang 202</w:t>
      </w:r>
      <w:r>
        <w:rPr>
          <w:sz w:val="24"/>
          <w:szCs w:val="24"/>
        </w:rPr>
        <w:t>5</w:t>
      </w:r>
      <w:r w:rsidR="00911FDA" w:rsidRPr="002A48A3">
        <w:rPr>
          <w:sz w:val="24"/>
          <w:szCs w:val="24"/>
        </w:rPr>
        <w:t xml:space="preserve"> </w:t>
      </w:r>
      <w:r w:rsidR="000638D6" w:rsidRPr="002A48A3">
        <w:rPr>
          <w:sz w:val="24"/>
          <w:szCs w:val="24"/>
        </w:rPr>
        <w:t>möglich.</w:t>
      </w:r>
      <w:r w:rsidR="002A24B9">
        <w:rPr>
          <w:sz w:val="24"/>
          <w:szCs w:val="24"/>
        </w:rPr>
        <w:t xml:space="preserve"> </w:t>
      </w:r>
      <w:r w:rsidR="00B57795">
        <w:rPr>
          <w:sz w:val="24"/>
          <w:szCs w:val="24"/>
        </w:rPr>
        <w:t xml:space="preserve">Über die </w:t>
      </w:r>
      <w:r w:rsidR="002A24B9">
        <w:rPr>
          <w:sz w:val="24"/>
          <w:szCs w:val="24"/>
        </w:rPr>
        <w:t>s</w:t>
      </w:r>
      <w:r w:rsidR="00FA2312">
        <w:rPr>
          <w:sz w:val="24"/>
          <w:szCs w:val="24"/>
        </w:rPr>
        <w:t>ogenannte Aufkommensneutralität</w:t>
      </w:r>
      <w:r w:rsidR="00B57795">
        <w:rPr>
          <w:sz w:val="24"/>
          <w:szCs w:val="24"/>
        </w:rPr>
        <w:t xml:space="preserve"> </w:t>
      </w:r>
      <w:r w:rsidR="002A24B9">
        <w:rPr>
          <w:sz w:val="24"/>
          <w:szCs w:val="24"/>
        </w:rPr>
        <w:t xml:space="preserve">in einer Kommune </w:t>
      </w:r>
      <w:r w:rsidR="00B57795">
        <w:rPr>
          <w:sz w:val="24"/>
          <w:szCs w:val="24"/>
        </w:rPr>
        <w:t>sagt allerdings der Hebesatz allein wie beschrieben nichts aus, da er insgesamt so</w:t>
      </w:r>
      <w:r w:rsidR="00A13DAF">
        <w:rPr>
          <w:sz w:val="24"/>
          <w:szCs w:val="24"/>
        </w:rPr>
        <w:t xml:space="preserve"> gewählt werden dürfte</w:t>
      </w:r>
      <w:r w:rsidR="00B57795">
        <w:rPr>
          <w:sz w:val="24"/>
          <w:szCs w:val="24"/>
        </w:rPr>
        <w:t>, dass er die</w:t>
      </w:r>
      <w:r w:rsidR="002A24B9">
        <w:rPr>
          <w:sz w:val="24"/>
          <w:szCs w:val="24"/>
        </w:rPr>
        <w:t xml:space="preserve"> einzelnen</w:t>
      </w:r>
      <w:r w:rsidR="00B57795">
        <w:rPr>
          <w:sz w:val="24"/>
          <w:szCs w:val="24"/>
        </w:rPr>
        <w:t xml:space="preserve"> Verschiebungen, die sich aus dem neuen System ergeben</w:t>
      </w:r>
      <w:r w:rsidR="00A13DAF">
        <w:rPr>
          <w:sz w:val="24"/>
          <w:szCs w:val="24"/>
        </w:rPr>
        <w:t xml:space="preserve">, </w:t>
      </w:r>
      <w:r w:rsidR="00B57795">
        <w:rPr>
          <w:sz w:val="24"/>
          <w:szCs w:val="24"/>
        </w:rPr>
        <w:t>bezogen auf das Gesamtaufkommen</w:t>
      </w:r>
      <w:r>
        <w:rPr>
          <w:sz w:val="24"/>
          <w:szCs w:val="24"/>
        </w:rPr>
        <w:t xml:space="preserve"> der Grundsteuer in</w:t>
      </w:r>
      <w:r w:rsidR="00B57795">
        <w:rPr>
          <w:sz w:val="24"/>
          <w:szCs w:val="24"/>
        </w:rPr>
        <w:t xml:space="preserve"> der Stadt bzw. Gemeinde neutralisiert.</w:t>
      </w:r>
      <w:r w:rsidR="002A24B9">
        <w:rPr>
          <w:sz w:val="24"/>
          <w:szCs w:val="24"/>
        </w:rPr>
        <w:t xml:space="preserve"> </w:t>
      </w:r>
    </w:p>
    <w:p w:rsidR="00E91D96" w:rsidRDefault="00E91D96" w:rsidP="002A48A3">
      <w:pPr>
        <w:jc w:val="both"/>
        <w:rPr>
          <w:sz w:val="24"/>
          <w:szCs w:val="24"/>
        </w:rPr>
      </w:pPr>
    </w:p>
    <w:p w:rsidR="00511390" w:rsidRDefault="00511390" w:rsidP="002A48A3">
      <w:pPr>
        <w:jc w:val="both"/>
        <w:rPr>
          <w:sz w:val="24"/>
          <w:szCs w:val="24"/>
        </w:rPr>
      </w:pPr>
    </w:p>
    <w:p w:rsidR="00511390" w:rsidRDefault="00331492" w:rsidP="002A48A3">
      <w:pPr>
        <w:jc w:val="both"/>
        <w:rPr>
          <w:sz w:val="24"/>
          <w:szCs w:val="24"/>
        </w:rPr>
      </w:pPr>
      <w:r>
        <w:rPr>
          <w:sz w:val="24"/>
          <w:szCs w:val="24"/>
        </w:rPr>
        <w:t>Hannover im Februar 2024</w:t>
      </w:r>
    </w:p>
    <w:p w:rsidR="00C47B60" w:rsidRPr="002A48A3" w:rsidRDefault="00C47B60" w:rsidP="002A48A3">
      <w:pPr>
        <w:jc w:val="both"/>
        <w:rPr>
          <w:sz w:val="24"/>
          <w:szCs w:val="24"/>
        </w:rPr>
      </w:pPr>
    </w:p>
    <w:sectPr w:rsidR="00C47B60" w:rsidRPr="002A48A3" w:rsidSect="003F643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7C91" w:rsidRDefault="009C7C91" w:rsidP="004D44A6">
      <w:pPr>
        <w:spacing w:after="0" w:line="240" w:lineRule="auto"/>
      </w:pPr>
      <w:r>
        <w:separator/>
      </w:r>
    </w:p>
  </w:endnote>
  <w:endnote w:type="continuationSeparator" w:id="0">
    <w:p w:rsidR="009C7C91" w:rsidRDefault="009C7C91" w:rsidP="004D4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5F6" w:rsidRDefault="002145F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7363202"/>
      <w:docPartObj>
        <w:docPartGallery w:val="Page Numbers (Bottom of Page)"/>
        <w:docPartUnique/>
      </w:docPartObj>
    </w:sdtPr>
    <w:sdtEndPr/>
    <w:sdtContent>
      <w:p w:rsidR="000D0067" w:rsidRDefault="000D0067">
        <w:pPr>
          <w:pStyle w:val="Fuzeile"/>
          <w:jc w:val="right"/>
        </w:pPr>
        <w:r>
          <w:fldChar w:fldCharType="begin"/>
        </w:r>
        <w:r>
          <w:instrText>PAGE   \* MERGEFORMAT</w:instrText>
        </w:r>
        <w:r>
          <w:fldChar w:fldCharType="separate"/>
        </w:r>
        <w:r w:rsidR="009F5843">
          <w:rPr>
            <w:noProof/>
          </w:rPr>
          <w:t>1</w:t>
        </w:r>
        <w:r>
          <w:fldChar w:fldCharType="end"/>
        </w:r>
      </w:p>
    </w:sdtContent>
  </w:sdt>
  <w:p w:rsidR="000D0067" w:rsidRDefault="000D006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5F6" w:rsidRDefault="002145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7C91" w:rsidRDefault="009C7C91" w:rsidP="004D44A6">
      <w:pPr>
        <w:spacing w:after="0" w:line="240" w:lineRule="auto"/>
      </w:pPr>
      <w:r>
        <w:separator/>
      </w:r>
    </w:p>
  </w:footnote>
  <w:footnote w:type="continuationSeparator" w:id="0">
    <w:p w:rsidR="009C7C91" w:rsidRDefault="009C7C91" w:rsidP="004D44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5F6" w:rsidRDefault="002145F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B7C" w:rsidRPr="00CA5E9C" w:rsidRDefault="00AE1B7C" w:rsidP="00CA5E9C">
    <w:pPr>
      <w:pStyle w:val="Kopfzeile"/>
      <w:jc w:val="center"/>
      <w:rPr>
        <w:b/>
        <w:sz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5F6" w:rsidRDefault="002145F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C62C5"/>
    <w:multiLevelType w:val="hybridMultilevel"/>
    <w:tmpl w:val="0FAA59C2"/>
    <w:lvl w:ilvl="0" w:tplc="71CC3288">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7BB2862"/>
    <w:multiLevelType w:val="multilevel"/>
    <w:tmpl w:val="084C8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E21"/>
    <w:rsid w:val="00030BE2"/>
    <w:rsid w:val="0003164E"/>
    <w:rsid w:val="00053174"/>
    <w:rsid w:val="000600C5"/>
    <w:rsid w:val="000638D6"/>
    <w:rsid w:val="000650B6"/>
    <w:rsid w:val="00080B40"/>
    <w:rsid w:val="00081FE8"/>
    <w:rsid w:val="00090F93"/>
    <w:rsid w:val="000A2E08"/>
    <w:rsid w:val="000B0E21"/>
    <w:rsid w:val="000D0067"/>
    <w:rsid w:val="00104FD6"/>
    <w:rsid w:val="0015062B"/>
    <w:rsid w:val="00160CF9"/>
    <w:rsid w:val="00164863"/>
    <w:rsid w:val="001A0943"/>
    <w:rsid w:val="001B12E0"/>
    <w:rsid w:val="001C251F"/>
    <w:rsid w:val="001E4DFB"/>
    <w:rsid w:val="00210A3A"/>
    <w:rsid w:val="002145F6"/>
    <w:rsid w:val="0022490F"/>
    <w:rsid w:val="0024048A"/>
    <w:rsid w:val="00263B9D"/>
    <w:rsid w:val="00263C2A"/>
    <w:rsid w:val="002677A0"/>
    <w:rsid w:val="002A0A06"/>
    <w:rsid w:val="002A2341"/>
    <w:rsid w:val="002A24B9"/>
    <w:rsid w:val="002A3772"/>
    <w:rsid w:val="002A48A3"/>
    <w:rsid w:val="002E0253"/>
    <w:rsid w:val="00302C52"/>
    <w:rsid w:val="00322F91"/>
    <w:rsid w:val="00331492"/>
    <w:rsid w:val="00333DEF"/>
    <w:rsid w:val="003554A9"/>
    <w:rsid w:val="00375D26"/>
    <w:rsid w:val="003A6453"/>
    <w:rsid w:val="003F19A8"/>
    <w:rsid w:val="003F6436"/>
    <w:rsid w:val="00402256"/>
    <w:rsid w:val="0043447A"/>
    <w:rsid w:val="0046454C"/>
    <w:rsid w:val="0046634D"/>
    <w:rsid w:val="00481FAB"/>
    <w:rsid w:val="00482C4F"/>
    <w:rsid w:val="00487C9C"/>
    <w:rsid w:val="004B3E9B"/>
    <w:rsid w:val="004C65AB"/>
    <w:rsid w:val="004D44A6"/>
    <w:rsid w:val="004E0EDE"/>
    <w:rsid w:val="004F5FA9"/>
    <w:rsid w:val="00511390"/>
    <w:rsid w:val="00554F36"/>
    <w:rsid w:val="00567F8E"/>
    <w:rsid w:val="00574BA4"/>
    <w:rsid w:val="005864EA"/>
    <w:rsid w:val="006212B2"/>
    <w:rsid w:val="00642213"/>
    <w:rsid w:val="006612D3"/>
    <w:rsid w:val="00670273"/>
    <w:rsid w:val="006779FE"/>
    <w:rsid w:val="006804EF"/>
    <w:rsid w:val="006B265F"/>
    <w:rsid w:val="00714089"/>
    <w:rsid w:val="00731A90"/>
    <w:rsid w:val="00732903"/>
    <w:rsid w:val="0076422D"/>
    <w:rsid w:val="007A0E88"/>
    <w:rsid w:val="007D1804"/>
    <w:rsid w:val="00883F15"/>
    <w:rsid w:val="008C2CDA"/>
    <w:rsid w:val="008E682C"/>
    <w:rsid w:val="009016D9"/>
    <w:rsid w:val="00907CE1"/>
    <w:rsid w:val="00911FDA"/>
    <w:rsid w:val="00915853"/>
    <w:rsid w:val="009303A1"/>
    <w:rsid w:val="00933D1B"/>
    <w:rsid w:val="009564D7"/>
    <w:rsid w:val="009575E0"/>
    <w:rsid w:val="009755DD"/>
    <w:rsid w:val="00981B5A"/>
    <w:rsid w:val="009850E9"/>
    <w:rsid w:val="009A1F34"/>
    <w:rsid w:val="009C7C91"/>
    <w:rsid w:val="009E4354"/>
    <w:rsid w:val="009F5843"/>
    <w:rsid w:val="00A13DAF"/>
    <w:rsid w:val="00A331CE"/>
    <w:rsid w:val="00A74A10"/>
    <w:rsid w:val="00AA22BD"/>
    <w:rsid w:val="00AE1B7C"/>
    <w:rsid w:val="00AF3A67"/>
    <w:rsid w:val="00AF5454"/>
    <w:rsid w:val="00B45ACE"/>
    <w:rsid w:val="00B57795"/>
    <w:rsid w:val="00B57A39"/>
    <w:rsid w:val="00B80BB9"/>
    <w:rsid w:val="00BC2F44"/>
    <w:rsid w:val="00BD0690"/>
    <w:rsid w:val="00C0117D"/>
    <w:rsid w:val="00C10609"/>
    <w:rsid w:val="00C141BA"/>
    <w:rsid w:val="00C222C2"/>
    <w:rsid w:val="00C42B24"/>
    <w:rsid w:val="00C43476"/>
    <w:rsid w:val="00C47B60"/>
    <w:rsid w:val="00C54157"/>
    <w:rsid w:val="00C56EEE"/>
    <w:rsid w:val="00C7420F"/>
    <w:rsid w:val="00C86269"/>
    <w:rsid w:val="00C90C59"/>
    <w:rsid w:val="00C97774"/>
    <w:rsid w:val="00CA3F11"/>
    <w:rsid w:val="00CA5E9C"/>
    <w:rsid w:val="00CD0B2E"/>
    <w:rsid w:val="00CD54E8"/>
    <w:rsid w:val="00CE3D77"/>
    <w:rsid w:val="00CF6525"/>
    <w:rsid w:val="00D23201"/>
    <w:rsid w:val="00D54D32"/>
    <w:rsid w:val="00D561AB"/>
    <w:rsid w:val="00D614F7"/>
    <w:rsid w:val="00D91E12"/>
    <w:rsid w:val="00D93084"/>
    <w:rsid w:val="00DA743C"/>
    <w:rsid w:val="00DC362C"/>
    <w:rsid w:val="00DC5E76"/>
    <w:rsid w:val="00DD4971"/>
    <w:rsid w:val="00DE1555"/>
    <w:rsid w:val="00E129CC"/>
    <w:rsid w:val="00E1334C"/>
    <w:rsid w:val="00E37FE6"/>
    <w:rsid w:val="00E67A2C"/>
    <w:rsid w:val="00E70E7F"/>
    <w:rsid w:val="00E91D96"/>
    <w:rsid w:val="00EC1DE4"/>
    <w:rsid w:val="00EC2A41"/>
    <w:rsid w:val="00EC46BF"/>
    <w:rsid w:val="00EF1678"/>
    <w:rsid w:val="00F5348F"/>
    <w:rsid w:val="00F70214"/>
    <w:rsid w:val="00F77B98"/>
    <w:rsid w:val="00F8024D"/>
    <w:rsid w:val="00F87B85"/>
    <w:rsid w:val="00FA2312"/>
    <w:rsid w:val="00FA4F34"/>
    <w:rsid w:val="00FB1CED"/>
    <w:rsid w:val="00FC6EC0"/>
    <w:rsid w:val="00FF167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FE5289"/>
  <w15:chartTrackingRefBased/>
  <w15:docId w15:val="{758EB97F-2D3A-403B-825B-C8F9B05A1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2">
    <w:name w:val="heading 2"/>
    <w:basedOn w:val="Standard"/>
    <w:link w:val="berschrift2Zchn"/>
    <w:uiPriority w:val="9"/>
    <w:qFormat/>
    <w:rsid w:val="000B0E21"/>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D44A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D44A6"/>
  </w:style>
  <w:style w:type="paragraph" w:styleId="Fuzeile">
    <w:name w:val="footer"/>
    <w:basedOn w:val="Standard"/>
    <w:link w:val="FuzeileZchn"/>
    <w:uiPriority w:val="99"/>
    <w:unhideWhenUsed/>
    <w:rsid w:val="004D44A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D44A6"/>
  </w:style>
  <w:style w:type="character" w:customStyle="1" w:styleId="berschrift2Zchn">
    <w:name w:val="Überschrift 2 Zchn"/>
    <w:basedOn w:val="Absatz-Standardschriftart"/>
    <w:link w:val="berschrift2"/>
    <w:uiPriority w:val="9"/>
    <w:rsid w:val="000B0E21"/>
    <w:rPr>
      <w:rFonts w:ascii="Times New Roman" w:eastAsia="Times New Roman" w:hAnsi="Times New Roman" w:cs="Times New Roman"/>
      <w:b/>
      <w:bCs/>
      <w:sz w:val="36"/>
      <w:szCs w:val="36"/>
      <w:lang w:eastAsia="de-DE"/>
    </w:rPr>
  </w:style>
  <w:style w:type="character" w:styleId="Hyperlink">
    <w:name w:val="Hyperlink"/>
    <w:basedOn w:val="Absatz-Standardschriftart"/>
    <w:uiPriority w:val="99"/>
    <w:semiHidden/>
    <w:unhideWhenUsed/>
    <w:rsid w:val="000B0E21"/>
    <w:rPr>
      <w:color w:val="0000FF"/>
      <w:u w:val="single"/>
    </w:rPr>
  </w:style>
  <w:style w:type="paragraph" w:styleId="StandardWeb">
    <w:name w:val="Normal (Web)"/>
    <w:basedOn w:val="Standard"/>
    <w:uiPriority w:val="99"/>
    <w:semiHidden/>
    <w:unhideWhenUsed/>
    <w:rsid w:val="000B0E21"/>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2A0A06"/>
    <w:pPr>
      <w:spacing w:after="0" w:line="240" w:lineRule="auto"/>
      <w:ind w:left="720"/>
    </w:pPr>
    <w:rPr>
      <w:rFonts w:ascii="Calibri" w:hAnsi="Calibri" w:cs="Calibri"/>
    </w:rPr>
  </w:style>
  <w:style w:type="paragraph" w:styleId="Funotentext">
    <w:name w:val="footnote text"/>
    <w:basedOn w:val="Standard"/>
    <w:link w:val="FunotentextZchn"/>
    <w:uiPriority w:val="99"/>
    <w:semiHidden/>
    <w:unhideWhenUsed/>
    <w:rsid w:val="007A0E8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A0E88"/>
    <w:rPr>
      <w:sz w:val="20"/>
      <w:szCs w:val="20"/>
    </w:rPr>
  </w:style>
  <w:style w:type="character" w:styleId="Funotenzeichen">
    <w:name w:val="footnote reference"/>
    <w:basedOn w:val="Absatz-Standardschriftart"/>
    <w:uiPriority w:val="99"/>
    <w:semiHidden/>
    <w:unhideWhenUsed/>
    <w:rsid w:val="007A0E88"/>
    <w:rPr>
      <w:vertAlign w:val="superscript"/>
    </w:rPr>
  </w:style>
  <w:style w:type="paragraph" w:styleId="Sprechblasentext">
    <w:name w:val="Balloon Text"/>
    <w:basedOn w:val="Standard"/>
    <w:link w:val="SprechblasentextZchn"/>
    <w:uiPriority w:val="99"/>
    <w:semiHidden/>
    <w:unhideWhenUsed/>
    <w:rsid w:val="0091585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15853"/>
    <w:rPr>
      <w:rFonts w:ascii="Segoe UI" w:hAnsi="Segoe UI" w:cs="Segoe UI"/>
      <w:sz w:val="18"/>
      <w:szCs w:val="18"/>
    </w:rPr>
  </w:style>
  <w:style w:type="character" w:styleId="Kommentarzeichen">
    <w:name w:val="annotation reference"/>
    <w:basedOn w:val="Absatz-Standardschriftart"/>
    <w:uiPriority w:val="99"/>
    <w:semiHidden/>
    <w:unhideWhenUsed/>
    <w:rsid w:val="000A2E08"/>
    <w:rPr>
      <w:sz w:val="16"/>
      <w:szCs w:val="16"/>
    </w:rPr>
  </w:style>
  <w:style w:type="paragraph" w:styleId="Kommentartext">
    <w:name w:val="annotation text"/>
    <w:basedOn w:val="Standard"/>
    <w:link w:val="KommentartextZchn"/>
    <w:uiPriority w:val="99"/>
    <w:unhideWhenUsed/>
    <w:rsid w:val="000A2E08"/>
    <w:pPr>
      <w:spacing w:line="240" w:lineRule="auto"/>
    </w:pPr>
    <w:rPr>
      <w:sz w:val="20"/>
      <w:szCs w:val="20"/>
    </w:rPr>
  </w:style>
  <w:style w:type="character" w:customStyle="1" w:styleId="KommentartextZchn">
    <w:name w:val="Kommentartext Zchn"/>
    <w:basedOn w:val="Absatz-Standardschriftart"/>
    <w:link w:val="Kommentartext"/>
    <w:uiPriority w:val="99"/>
    <w:rsid w:val="000A2E08"/>
    <w:rPr>
      <w:sz w:val="20"/>
      <w:szCs w:val="20"/>
    </w:rPr>
  </w:style>
  <w:style w:type="paragraph" w:styleId="Kommentarthema">
    <w:name w:val="annotation subject"/>
    <w:basedOn w:val="Kommentartext"/>
    <w:next w:val="Kommentartext"/>
    <w:link w:val="KommentarthemaZchn"/>
    <w:uiPriority w:val="99"/>
    <w:semiHidden/>
    <w:unhideWhenUsed/>
    <w:rsid w:val="000A2E08"/>
    <w:rPr>
      <w:b/>
      <w:bCs/>
    </w:rPr>
  </w:style>
  <w:style w:type="character" w:customStyle="1" w:styleId="KommentarthemaZchn">
    <w:name w:val="Kommentarthema Zchn"/>
    <w:basedOn w:val="KommentartextZchn"/>
    <w:link w:val="Kommentarthema"/>
    <w:uiPriority w:val="99"/>
    <w:semiHidden/>
    <w:rsid w:val="000A2E08"/>
    <w:rPr>
      <w:b/>
      <w:bCs/>
      <w:sz w:val="20"/>
      <w:szCs w:val="20"/>
    </w:rPr>
  </w:style>
  <w:style w:type="paragraph" w:styleId="berarbeitung">
    <w:name w:val="Revision"/>
    <w:hidden/>
    <w:uiPriority w:val="99"/>
    <w:semiHidden/>
    <w:rsid w:val="006B265F"/>
    <w:pPr>
      <w:spacing w:after="0" w:line="240" w:lineRule="auto"/>
    </w:pPr>
  </w:style>
  <w:style w:type="table" w:styleId="Tabellenraster">
    <w:name w:val="Table Grid"/>
    <w:basedOn w:val="NormaleTabelle"/>
    <w:uiPriority w:val="39"/>
    <w:rsid w:val="00C47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03323">
      <w:bodyDiv w:val="1"/>
      <w:marLeft w:val="0"/>
      <w:marRight w:val="0"/>
      <w:marTop w:val="0"/>
      <w:marBottom w:val="0"/>
      <w:divBdr>
        <w:top w:val="none" w:sz="0" w:space="0" w:color="auto"/>
        <w:left w:val="none" w:sz="0" w:space="0" w:color="auto"/>
        <w:bottom w:val="none" w:sz="0" w:space="0" w:color="auto"/>
        <w:right w:val="none" w:sz="0" w:space="0" w:color="auto"/>
      </w:divBdr>
    </w:div>
    <w:div w:id="621569639">
      <w:bodyDiv w:val="1"/>
      <w:marLeft w:val="0"/>
      <w:marRight w:val="0"/>
      <w:marTop w:val="0"/>
      <w:marBottom w:val="0"/>
      <w:divBdr>
        <w:top w:val="none" w:sz="0" w:space="0" w:color="auto"/>
        <w:left w:val="none" w:sz="0" w:space="0" w:color="auto"/>
        <w:bottom w:val="none" w:sz="0" w:space="0" w:color="auto"/>
        <w:right w:val="none" w:sz="0" w:space="0" w:color="auto"/>
      </w:divBdr>
      <w:divsChild>
        <w:div w:id="489948508">
          <w:marLeft w:val="0"/>
          <w:marRight w:val="0"/>
          <w:marTop w:val="0"/>
          <w:marBottom w:val="0"/>
          <w:divBdr>
            <w:top w:val="none" w:sz="0" w:space="0" w:color="auto"/>
            <w:left w:val="none" w:sz="0" w:space="0" w:color="auto"/>
            <w:bottom w:val="none" w:sz="0" w:space="0" w:color="auto"/>
            <w:right w:val="none" w:sz="0" w:space="0" w:color="auto"/>
          </w:divBdr>
        </w:div>
        <w:div w:id="1135373884">
          <w:marLeft w:val="0"/>
          <w:marRight w:val="0"/>
          <w:marTop w:val="0"/>
          <w:marBottom w:val="0"/>
          <w:divBdr>
            <w:top w:val="none" w:sz="0" w:space="0" w:color="auto"/>
            <w:left w:val="none" w:sz="0" w:space="0" w:color="auto"/>
            <w:bottom w:val="none" w:sz="0" w:space="0" w:color="auto"/>
            <w:right w:val="none" w:sz="0" w:space="0" w:color="auto"/>
          </w:divBdr>
        </w:div>
      </w:divsChild>
    </w:div>
    <w:div w:id="1094790772">
      <w:bodyDiv w:val="1"/>
      <w:marLeft w:val="0"/>
      <w:marRight w:val="0"/>
      <w:marTop w:val="0"/>
      <w:marBottom w:val="0"/>
      <w:divBdr>
        <w:top w:val="none" w:sz="0" w:space="0" w:color="auto"/>
        <w:left w:val="none" w:sz="0" w:space="0" w:color="auto"/>
        <w:bottom w:val="none" w:sz="0" w:space="0" w:color="auto"/>
        <w:right w:val="none" w:sz="0" w:space="0" w:color="auto"/>
      </w:divBdr>
    </w:div>
    <w:div w:id="1248349368">
      <w:bodyDiv w:val="1"/>
      <w:marLeft w:val="0"/>
      <w:marRight w:val="0"/>
      <w:marTop w:val="0"/>
      <w:marBottom w:val="0"/>
      <w:divBdr>
        <w:top w:val="none" w:sz="0" w:space="0" w:color="auto"/>
        <w:left w:val="none" w:sz="0" w:space="0" w:color="auto"/>
        <w:bottom w:val="none" w:sz="0" w:space="0" w:color="auto"/>
        <w:right w:val="none" w:sz="0" w:space="0" w:color="auto"/>
      </w:divBdr>
    </w:div>
    <w:div w:id="185017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8F0B5-EBE0-40D2-856B-DE3DEC249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881</Words>
  <Characters>5551</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Albertin, Larissa (MI)</dc:creator>
  <cp:keywords/>
  <dc:description/>
  <cp:lastModifiedBy>Lottmann, Ulrich</cp:lastModifiedBy>
  <cp:revision>2</cp:revision>
  <cp:lastPrinted>2023-05-17T05:46:00Z</cp:lastPrinted>
  <dcterms:created xsi:type="dcterms:W3CDTF">2024-02-15T13:14:00Z</dcterms:created>
  <dcterms:modified xsi:type="dcterms:W3CDTF">2024-02-15T13:14:00Z</dcterms:modified>
</cp:coreProperties>
</file>